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仿宋" w:hAnsi="仿宋" w:eastAsia="仿宋"/>
          <w:b/>
          <w:bCs/>
          <w:sz w:val="44"/>
          <w:szCs w:val="44"/>
        </w:rPr>
      </w:pPr>
    </w:p>
    <w:p>
      <w:pPr>
        <w:pStyle w:val="2"/>
        <w:ind w:firstLine="600"/>
        <w:rPr>
          <w:rFonts w:hint="eastAsia"/>
        </w:rPr>
      </w:pPr>
    </w:p>
    <w:p>
      <w:pPr>
        <w:spacing w:line="578"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中共万载县委统战部部门评价报告</w:t>
      </w: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680" w:lineRule="exact"/>
        <w:jc w:val="left"/>
        <w:rPr>
          <w:rFonts w:hint="eastAsia" w:ascii="仿宋_GB2312" w:hAnsi="仿宋" w:eastAsia="仿宋_GB2312" w:cs="仿宋"/>
          <w:sz w:val="28"/>
          <w:szCs w:val="32"/>
          <w:u w:val="single"/>
        </w:rPr>
      </w:pPr>
      <w:r>
        <w:rPr>
          <w:rFonts w:hint="eastAsia" w:ascii="仿宋_GB2312" w:hAnsi="仿宋" w:eastAsia="仿宋_GB2312" w:cs="仿宋"/>
          <w:szCs w:val="32"/>
        </w:rPr>
        <w:t xml:space="preserve">         </w:t>
      </w:r>
      <w:r>
        <w:rPr>
          <w:rFonts w:hint="eastAsia" w:ascii="仿宋_GB2312" w:hAnsi="仿宋" w:eastAsia="仿宋_GB2312" w:cs="仿宋"/>
          <w:sz w:val="28"/>
          <w:szCs w:val="32"/>
        </w:rPr>
        <w:t>评价类型：</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实施过程评价</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完成结果评价</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项目名称： </w:t>
      </w:r>
      <w:r>
        <w:rPr>
          <w:rFonts w:hint="eastAsia" w:ascii="仿宋_GB2312" w:hAnsi="仿宋" w:eastAsia="仿宋_GB2312" w:cs="仿宋"/>
          <w:sz w:val="28"/>
          <w:szCs w:val="32"/>
          <w:u w:val="single"/>
        </w:rPr>
        <w:t xml:space="preserve">       统战部经费                     </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项目单位： </w:t>
      </w:r>
      <w:r>
        <w:rPr>
          <w:rFonts w:hint="eastAsia" w:ascii="仿宋_GB2312" w:hAnsi="仿宋" w:eastAsia="仿宋_GB2312" w:cs="仿宋"/>
          <w:sz w:val="28"/>
          <w:szCs w:val="32"/>
          <w:u w:val="single"/>
        </w:rPr>
        <w:t xml:space="preserve">       中共万载县委统战部             </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主管部门： </w:t>
      </w:r>
      <w:r>
        <w:rPr>
          <w:rFonts w:hint="eastAsia" w:ascii="仿宋_GB2312" w:hAnsi="仿宋" w:eastAsia="仿宋_GB2312" w:cs="仿宋"/>
          <w:sz w:val="28"/>
          <w:szCs w:val="32"/>
          <w:u w:val="single"/>
        </w:rPr>
        <w:t xml:space="preserve">       中共万载县委统战部              </w:t>
      </w:r>
      <w:r>
        <w:rPr>
          <w:rFonts w:hint="eastAsia" w:ascii="仿宋_GB2312" w:hAnsi="仿宋" w:eastAsia="仿宋_GB2312" w:cs="仿宋"/>
          <w:sz w:val="28"/>
          <w:szCs w:val="32"/>
        </w:rPr>
        <w:t xml:space="preserve">  </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评价时间： </w:t>
      </w:r>
      <w:r>
        <w:rPr>
          <w:rFonts w:hint="eastAsia" w:ascii="仿宋_GB2312" w:hAnsi="仿宋" w:eastAsia="仿宋_GB2312" w:cs="仿宋"/>
          <w:sz w:val="28"/>
          <w:szCs w:val="32"/>
          <w:u w:val="single"/>
        </w:rPr>
        <w:t xml:space="preserve"> 2022年3月15日至 2022年3月18日</w:t>
      </w:r>
    </w:p>
    <w:p>
      <w:pPr>
        <w:spacing w:line="680" w:lineRule="exact"/>
        <w:jc w:val="left"/>
        <w:rPr>
          <w:rFonts w:hint="eastAsia" w:ascii="仿宋_GB2312" w:hAnsi="仿宋" w:eastAsia="仿宋_GB2312" w:cs="仿宋"/>
          <w:sz w:val="28"/>
          <w:szCs w:val="32"/>
          <w:u w:val="single"/>
        </w:rPr>
      </w:pPr>
      <w:r>
        <w:rPr>
          <w:rFonts w:hint="eastAsia" w:ascii="仿宋_GB2312" w:hAnsi="仿宋" w:eastAsia="仿宋_GB2312" w:cs="仿宋"/>
          <w:sz w:val="28"/>
          <w:szCs w:val="32"/>
        </w:rPr>
        <w:t xml:space="preserve">       组织方式：</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 xml:space="preserve">财政部门 </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主管部门</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项目单位</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评价机构：</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 xml:space="preserve">第三方机构 </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 xml:space="preserve">专家组 </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项目单位评价组</w:t>
      </w:r>
    </w:p>
    <w:p>
      <w:pPr>
        <w:spacing w:line="578" w:lineRule="exact"/>
        <w:ind w:left="1050" w:hanging="1050" w:hangingChars="500"/>
        <w:rPr>
          <w:rFonts w:hint="eastAsia" w:ascii="仿宋_GB2312" w:hAnsi="仿宋" w:eastAsia="仿宋_GB2312" w:cs="仿宋"/>
          <w:szCs w:val="32"/>
        </w:rPr>
      </w:pPr>
    </w:p>
    <w:p>
      <w:pPr>
        <w:spacing w:line="578" w:lineRule="exact"/>
        <w:rPr>
          <w:rFonts w:hint="eastAsia" w:ascii="仿宋_GB2312" w:hAnsi="仿宋" w:eastAsia="仿宋_GB2312" w:cs="仿宋"/>
          <w:szCs w:val="32"/>
        </w:rPr>
      </w:pPr>
    </w:p>
    <w:p>
      <w:pPr>
        <w:spacing w:line="578" w:lineRule="exact"/>
        <w:ind w:left="1050" w:hanging="1050" w:hangingChars="500"/>
        <w:rPr>
          <w:rFonts w:hint="eastAsia" w:ascii="仿宋_GB2312" w:hAnsi="仿宋" w:eastAsia="仿宋_GB2312" w:cs="仿宋"/>
          <w:szCs w:val="32"/>
        </w:rPr>
      </w:pPr>
    </w:p>
    <w:p>
      <w:pPr>
        <w:spacing w:line="578" w:lineRule="exact"/>
        <w:ind w:left="1050" w:hanging="1050" w:hangingChars="500"/>
        <w:rPr>
          <w:rFonts w:hint="eastAsia" w:ascii="仿宋_GB2312" w:hAnsi="仿宋" w:eastAsia="仿宋_GB2312" w:cs="仿宋"/>
          <w:sz w:val="28"/>
          <w:szCs w:val="32"/>
        </w:rPr>
      </w:pPr>
      <w:r>
        <w:rPr>
          <w:rFonts w:hint="eastAsia" w:ascii="仿宋_GB2312" w:hAnsi="仿宋" w:eastAsia="仿宋_GB2312" w:cs="仿宋"/>
          <w:szCs w:val="32"/>
        </w:rPr>
        <w:t xml:space="preserve">         </w:t>
      </w:r>
      <w:r>
        <w:rPr>
          <w:rFonts w:hint="eastAsia" w:ascii="仿宋_GB2312" w:hAnsi="仿宋" w:eastAsia="仿宋_GB2312" w:cs="仿宋"/>
          <w:sz w:val="28"/>
          <w:szCs w:val="32"/>
        </w:rPr>
        <w:t>评价单位（盖章）：</w:t>
      </w:r>
    </w:p>
    <w:p>
      <w:pPr>
        <w:spacing w:line="578" w:lineRule="exact"/>
        <w:ind w:left="1400" w:hanging="1400" w:hangingChars="500"/>
        <w:rPr>
          <w:rFonts w:hint="eastAsia" w:ascii="仿宋_GB2312" w:hAnsi="仿宋" w:eastAsia="仿宋_GB2312" w:cs="仿宋"/>
          <w:sz w:val="28"/>
          <w:szCs w:val="32"/>
        </w:rPr>
      </w:pPr>
      <w:r>
        <w:rPr>
          <w:rFonts w:hint="eastAsia" w:ascii="仿宋_GB2312" w:hAnsi="仿宋" w:eastAsia="仿宋_GB2312" w:cs="仿宋"/>
          <w:sz w:val="28"/>
          <w:szCs w:val="32"/>
        </w:rPr>
        <w:t xml:space="preserve">           上报时间：</w:t>
      </w:r>
    </w:p>
    <w:p>
      <w:pPr>
        <w:spacing w:line="400" w:lineRule="exact"/>
        <w:jc w:val="left"/>
        <w:rPr>
          <w:rFonts w:hint="eastAsia" w:ascii="仿宋_GB2312" w:hAnsi="仿宋" w:eastAsia="仿宋_GB2312" w:cs="仿宋"/>
          <w:szCs w:val="32"/>
        </w:rPr>
      </w:pPr>
    </w:p>
    <w:p>
      <w:pPr>
        <w:rPr>
          <w:rFonts w:hint="eastAsia" w:ascii="仿宋" w:hAnsi="仿宋" w:eastAsia="仿宋" w:cs="仿宋"/>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中共万载县委统战部部门评价报告</w:t>
      </w:r>
    </w:p>
    <w:p>
      <w:pPr>
        <w:spacing w:line="240" w:lineRule="exact"/>
        <w:jc w:val="center"/>
        <w:rPr>
          <w:rFonts w:hint="eastAsia" w:ascii="楷体_GB2312" w:hAnsi="楷体_GB2312" w:eastAsia="楷体_GB2312"/>
          <w:sz w:val="32"/>
          <w:szCs w:val="32"/>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一、基本情况</w:t>
      </w:r>
    </w:p>
    <w:p>
      <w:pPr>
        <w:spacing w:line="520" w:lineRule="exact"/>
        <w:ind w:firstLine="629"/>
        <w:rPr>
          <w:rFonts w:hint="eastAsia" w:ascii="仿宋_GB2312" w:hAnsi="宋体" w:eastAsia="仿宋_GB2312" w:cs="宋体"/>
          <w:sz w:val="32"/>
          <w:szCs w:val="32"/>
        </w:rPr>
      </w:pPr>
      <w:r>
        <w:rPr>
          <w:rFonts w:hint="eastAsia" w:ascii="仿宋_GB2312" w:hAnsi="宋体" w:eastAsia="仿宋_GB2312" w:cs="宋体"/>
          <w:sz w:val="32"/>
          <w:szCs w:val="32"/>
        </w:rPr>
        <w:t>2021年度统战部工作经费主要用于保证统一战线各项工作的正常开展。2021年已于当年全部支出</w:t>
      </w:r>
      <w:r>
        <w:rPr>
          <w:rFonts w:hint="eastAsia" w:ascii="仿宋_GB2312" w:hAnsi="仿宋_GB2312" w:eastAsia="仿宋_GB2312"/>
          <w:sz w:val="32"/>
          <w:szCs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二、绩效评价工作开展情况</w:t>
      </w:r>
    </w:p>
    <w:p>
      <w:pPr>
        <w:numPr>
          <w:ilvl w:val="0"/>
          <w:numId w:val="2"/>
        </w:numPr>
        <w:spacing w:line="520" w:lineRule="exact"/>
        <w:ind w:firstLine="629"/>
        <w:rPr>
          <w:rFonts w:ascii="仿宋_GB2312" w:hAnsi="宋体" w:eastAsia="仿宋_GB2312" w:cs="宋体"/>
          <w:sz w:val="32"/>
          <w:szCs w:val="32"/>
        </w:rPr>
      </w:pPr>
      <w:r>
        <w:rPr>
          <w:rFonts w:hint="eastAsia" w:ascii="仿宋_GB2312" w:hAnsi="宋体" w:eastAsia="仿宋_GB2312" w:cs="宋体"/>
          <w:sz w:val="32"/>
          <w:szCs w:val="32"/>
        </w:rPr>
        <w:t>绩效评价目的、对象和范围</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2022年3月底成立了项目评价工作领导小组，由常务副部长郭永红任组长，曾道平任副组长，巢时平、邹根林为成员共4人组织对项目进行绩效评价工作。</w:t>
      </w:r>
    </w:p>
    <w:p>
      <w:pPr>
        <w:spacing w:line="520" w:lineRule="exact"/>
        <w:ind w:firstLine="629"/>
        <w:rPr>
          <w:rFonts w:ascii="仿宋_GB2312" w:hAnsi="宋体" w:eastAsia="仿宋_GB2312" w:cs="宋体"/>
          <w:sz w:val="32"/>
          <w:szCs w:val="32"/>
        </w:rPr>
      </w:pPr>
      <w:r>
        <w:rPr>
          <w:rFonts w:hint="eastAsia" w:ascii="仿宋_GB2312" w:hAnsi="宋体" w:eastAsia="仿宋_GB2312" w:cs="宋体"/>
          <w:b/>
          <w:sz w:val="32"/>
          <w:szCs w:val="32"/>
        </w:rPr>
        <w:t>（二）</w:t>
      </w:r>
      <w:r>
        <w:rPr>
          <w:rFonts w:hint="eastAsia" w:ascii="仿宋_GB2312" w:hAnsi="宋体" w:eastAsia="仿宋_GB2312" w:cs="宋体"/>
          <w:bCs/>
          <w:sz w:val="32"/>
          <w:szCs w:val="32"/>
        </w:rPr>
        <w:t>评价的原则和依据：</w:t>
      </w:r>
      <w:r>
        <w:rPr>
          <w:rFonts w:hint="eastAsia" w:ascii="仿宋_GB2312" w:hAnsi="宋体" w:eastAsia="仿宋_GB2312" w:cs="宋体"/>
          <w:sz w:val="32"/>
          <w:szCs w:val="32"/>
        </w:rPr>
        <w:t>根据县财政局项目资金预算管理的相关文件精神和绩效评价工作的通知要求，提出了本单位的绩效评价工作方案，参照培训资料《项目支出绩效评价共性指标体系框架》制定了符合本项目特点的评价指标及评份标准。</w:t>
      </w:r>
    </w:p>
    <w:p>
      <w:pPr>
        <w:spacing w:line="520" w:lineRule="exact"/>
        <w:ind w:firstLine="629"/>
        <w:rPr>
          <w:rFonts w:ascii="仿宋_GB2312" w:hAnsi="宋体" w:eastAsia="仿宋_GB2312" w:cs="宋体"/>
          <w:sz w:val="32"/>
          <w:szCs w:val="32"/>
        </w:rPr>
      </w:pPr>
      <w:r>
        <w:rPr>
          <w:rFonts w:hint="eastAsia" w:ascii="仿宋_GB2312" w:hAnsi="宋体" w:eastAsia="仿宋_GB2312" w:cs="宋体"/>
          <w:b/>
          <w:sz w:val="32"/>
          <w:szCs w:val="32"/>
        </w:rPr>
        <w:t>（三）</w:t>
      </w:r>
      <w:r>
        <w:rPr>
          <w:rFonts w:hint="eastAsia" w:ascii="仿宋_GB2312" w:hAnsi="宋体" w:eastAsia="仿宋_GB2312" w:cs="宋体"/>
          <w:bCs/>
          <w:sz w:val="32"/>
          <w:szCs w:val="32"/>
        </w:rPr>
        <w:t>具体评价过程：</w:t>
      </w:r>
      <w:r>
        <w:rPr>
          <w:rFonts w:hint="eastAsia" w:ascii="仿宋_GB2312" w:hAnsi="宋体" w:eastAsia="仿宋_GB2312" w:cs="宋体"/>
          <w:sz w:val="32"/>
          <w:szCs w:val="32"/>
        </w:rPr>
        <w:t>首先评价小组成员了解项目总体情况，学习绩效评价政策，评价标准，全面掌握项目支出绩效评价方法和有关要求。再次在对收集的第一手项目评价各指标资料，包括学习培训费、企业维权费、组建外埠商会费、非公党建费等进行整理和分析的基础上，评价组计算出统计定量指标，对定性指标做出经验判断，并运用相应的评价方法对绩效情况进行综合评价。接着召开评价组会议，组织讨论，评价打分，根据相关意见进行修正完善，出具正式绩效评价报告。</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三、综合评价情况及评价结论（附相关评分表）</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四、绩效评价指标分析</w:t>
      </w:r>
    </w:p>
    <w:p>
      <w:pPr>
        <w:spacing w:line="540" w:lineRule="exact"/>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（一）项目决策情况。</w:t>
      </w:r>
    </w:p>
    <w:p>
      <w:pPr>
        <w:spacing w:line="520" w:lineRule="exact"/>
        <w:rPr>
          <w:rFonts w:hint="eastAsia" w:ascii="仿宋_GB2312" w:hAnsi="宋体" w:eastAsia="仿宋_GB2312" w:cs="宋体"/>
          <w:sz w:val="32"/>
          <w:szCs w:val="32"/>
        </w:rPr>
      </w:pPr>
      <w:r>
        <w:rPr>
          <w:rFonts w:hint="eastAsia" w:ascii="仿宋_GB2312" w:hAnsi="宋体" w:eastAsia="仿宋_GB2312" w:cs="宋体"/>
          <w:sz w:val="32"/>
          <w:szCs w:val="32"/>
        </w:rPr>
        <w:t>2021年3月，召开部务会，制定2021年工作要点，提出2021年的统战部工作经费，要用于保证统一战线各项工作的正常开展。</w:t>
      </w:r>
    </w:p>
    <w:p>
      <w:pPr>
        <w:spacing w:line="540" w:lineRule="exact"/>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（二）项目过程情况。</w:t>
      </w:r>
    </w:p>
    <w:p>
      <w:pPr>
        <w:ind w:firstLine="321" w:firstLineChars="100"/>
        <w:rPr>
          <w:rFonts w:ascii="楷体" w:hAnsi="楷体" w:eastAsia="楷体" w:cs="楷体"/>
          <w:b/>
          <w:sz w:val="32"/>
          <w:szCs w:val="32"/>
        </w:rPr>
      </w:pPr>
      <w:r>
        <w:rPr>
          <w:rFonts w:hint="eastAsia" w:ascii="楷体" w:hAnsi="楷体" w:eastAsia="楷体" w:cs="楷体"/>
          <w:b/>
          <w:sz w:val="32"/>
          <w:szCs w:val="32"/>
        </w:rPr>
        <w:t>（一）凝聚共识，汇集合力，在“大团结”上主动作为</w:t>
      </w:r>
    </w:p>
    <w:p>
      <w:pPr>
        <w:ind w:firstLine="642" w:firstLineChars="200"/>
        <w:rPr>
          <w:rFonts w:ascii="仿宋_GB2312" w:eastAsia="仿宋_GB2312"/>
          <w:b/>
          <w:sz w:val="32"/>
          <w:szCs w:val="32"/>
        </w:rPr>
      </w:pPr>
      <w:r>
        <w:rPr>
          <w:rFonts w:hint="eastAsia" w:ascii="仿宋_GB2312" w:eastAsia="仿宋_GB2312"/>
          <w:b/>
          <w:sz w:val="32"/>
          <w:szCs w:val="32"/>
        </w:rPr>
        <w:t>1.强化政治引领。</w:t>
      </w:r>
      <w:r>
        <w:rPr>
          <w:rFonts w:hint="eastAsia" w:ascii="仿宋_GB2312" w:eastAsia="仿宋_GB2312"/>
          <w:bCs/>
          <w:sz w:val="32"/>
          <w:szCs w:val="32"/>
        </w:rPr>
        <w:t>2021年，对统战系统、统战工作来说是近年来大事、要事、喜事最多的一年。值建党100周年之际，《中国共产党统一战线工作条例》和省里的《实施意见》相继颁布实施，总书记发表“七一”重要讲话、党的十九届六中全会、中央民族工作会议、全国宗教工作会议和省、市、县三级党代会相继召开，为了让这些党的声音和主张及时落地，我们组织统战成员单位多渠道、多形式深入基层开展各项宣讲活动共计26次，掀起贯彻会议精神、学习《条例》的热潮，</w:t>
      </w:r>
      <w:r>
        <w:rPr>
          <w:rFonts w:hint="eastAsia" w:ascii="仿宋_GB2312" w:eastAsia="仿宋_GB2312"/>
          <w:sz w:val="32"/>
          <w:szCs w:val="32"/>
        </w:rPr>
        <w:t>筑牢了共同思想政治根基。</w:t>
      </w:r>
    </w:p>
    <w:p>
      <w:pPr>
        <w:ind w:firstLine="642" w:firstLineChars="200"/>
        <w:rPr>
          <w:rFonts w:ascii="仿宋_GB2312" w:eastAsia="仿宋_GB2312"/>
          <w:bCs/>
          <w:sz w:val="32"/>
          <w:szCs w:val="32"/>
        </w:rPr>
      </w:pPr>
      <w:r>
        <w:rPr>
          <w:rFonts w:hint="eastAsia" w:ascii="仿宋_GB2312" w:eastAsia="仿宋_GB2312"/>
          <w:b/>
          <w:sz w:val="32"/>
          <w:szCs w:val="32"/>
        </w:rPr>
        <w:t>2.深化主题教育。</w:t>
      </w:r>
      <w:r>
        <w:rPr>
          <w:rFonts w:hint="eastAsia" w:ascii="仿宋_GB2312" w:eastAsia="仿宋_GB2312"/>
          <w:bCs/>
          <w:sz w:val="32"/>
          <w:szCs w:val="32"/>
        </w:rPr>
        <w:t>围绕建党100周年主题，</w:t>
      </w:r>
      <w:r>
        <w:rPr>
          <w:rFonts w:hint="eastAsia" w:ascii="仿宋_GB2312" w:eastAsia="仿宋_GB2312"/>
          <w:sz w:val="32"/>
          <w:szCs w:val="32"/>
        </w:rPr>
        <w:t>开展丰富多彩党史学习教育，</w:t>
      </w:r>
      <w:r>
        <w:rPr>
          <w:rFonts w:hint="eastAsia" w:ascii="仿宋_GB2312" w:eastAsia="仿宋_GB2312"/>
          <w:bCs/>
          <w:sz w:val="32"/>
          <w:szCs w:val="32"/>
        </w:rPr>
        <w:t>通过举办读书会、报告会、红色之旅、知识竞赛等多种形式，推动党史学习教育走深走实；动员全县统一战线成员逾3000人参与全省统战系统举办的《条例》、《党史知识》网上竞答活动；积极参与省、市统一战线“同心奋斗听党话、携手前行跟党走”微信征文、朗诵、演讲比赛活动，各种学习实践活动在省市有关媒体刊发报道逾156篇次。</w:t>
      </w:r>
    </w:p>
    <w:p>
      <w:pPr>
        <w:ind w:firstLine="642" w:firstLineChars="200"/>
        <w:rPr>
          <w:rFonts w:ascii="仿宋_GB2312" w:eastAsia="仿宋_GB2312"/>
          <w:sz w:val="32"/>
          <w:szCs w:val="32"/>
        </w:rPr>
      </w:pPr>
      <w:r>
        <w:rPr>
          <w:rFonts w:hint="eastAsia" w:ascii="仿宋_GB2312" w:eastAsia="仿宋_GB2312"/>
          <w:b/>
          <w:sz w:val="32"/>
          <w:szCs w:val="32"/>
        </w:rPr>
        <w:t>3.汇集团结力量。</w:t>
      </w:r>
      <w:r>
        <w:rPr>
          <w:rFonts w:hint="eastAsia" w:ascii="仿宋_GB2312" w:eastAsia="仿宋_GB2312"/>
          <w:sz w:val="32"/>
          <w:szCs w:val="32"/>
        </w:rPr>
        <w:t>建立了县党政班子党员领导干部与党外代表人士联谊交友、县党政班子与新的社会阶层人士列名联系制度，并开展走访联谊活动；推动新的社会阶层人士统战工作“百城百点”实践创新基地建设；多次组织县知联会、新联会参加各种形式的学习培训及实践活动；积极搭建“民族团结一家亲”联谊交友活动，浓厚民族团结氛围；召开全县党外人士代表座谈会，围绕“建设富强美丽和谐宜居新万载”建议言献策。</w:t>
      </w:r>
    </w:p>
    <w:p>
      <w:pPr>
        <w:ind w:firstLine="642" w:firstLineChars="200"/>
        <w:rPr>
          <w:rFonts w:ascii="仿宋_GB2312" w:eastAsia="仿宋_GB2312"/>
          <w:sz w:val="32"/>
          <w:szCs w:val="32"/>
        </w:rPr>
      </w:pPr>
      <w:r>
        <w:rPr>
          <w:rFonts w:hint="eastAsia" w:ascii="仿宋_GB2312" w:eastAsia="仿宋_GB2312"/>
          <w:b/>
          <w:sz w:val="32"/>
          <w:szCs w:val="32"/>
        </w:rPr>
        <w:t>4.维护宗教稳定。</w:t>
      </w:r>
      <w:r>
        <w:rPr>
          <w:rFonts w:hint="eastAsia" w:ascii="仿宋_GB2312" w:eastAsia="仿宋_GB2312"/>
          <w:sz w:val="32"/>
          <w:szCs w:val="32"/>
        </w:rPr>
        <w:t>加强党对宗教工作的领导，县级民宗局长由常委部长兼任和乡镇由副书记分管宗教工作得到全面落实，十七个乡镇都配备了统战委员和统战干事；坚持</w:t>
      </w:r>
      <w:r>
        <w:rPr>
          <w:rFonts w:hint="eastAsia" w:ascii="仿宋_GB2312" w:eastAsia="仿宋_GB2312"/>
          <w:sz w:val="32"/>
          <w:szCs w:val="32"/>
          <w:lang w:eastAsia="zh-CN"/>
        </w:rPr>
        <w:t>我国</w:t>
      </w:r>
      <w:r>
        <w:rPr>
          <w:rFonts w:hint="eastAsia" w:ascii="仿宋_GB2312" w:eastAsia="仿宋_GB2312"/>
          <w:sz w:val="32"/>
          <w:szCs w:val="32"/>
        </w:rPr>
        <w:t>宗教中国化方向，全面规范场所“九个一”和“四进”；加强体制机制建设，建立宗教工作联合执法机制。宗教工作做到“六个纳入”，三级网络两级责任制得到落实；全面整治非法宗教活动，坚决遏制宗教渗透蔓延，取缔私设聚会点7处，收缴销毁宗教非法出版物2400余册，</w:t>
      </w:r>
      <w:r>
        <w:rPr>
          <w:rFonts w:hint="eastAsia" w:eastAsia="仿宋_GB2312"/>
          <w:sz w:val="32"/>
          <w:szCs w:val="20"/>
        </w:rPr>
        <w:t>实现了“三降”目标（场所数、信众数、十字架）；抓好常态化疫情防控工作，实现了宗教场所疫情零发生目标。</w:t>
      </w:r>
    </w:p>
    <w:p>
      <w:pPr>
        <w:ind w:firstLine="321" w:firstLineChars="100"/>
        <w:rPr>
          <w:rFonts w:ascii="楷体" w:hAnsi="楷体" w:eastAsia="楷体" w:cs="楷体"/>
          <w:b/>
          <w:sz w:val="32"/>
          <w:szCs w:val="32"/>
        </w:rPr>
      </w:pPr>
      <w:r>
        <w:rPr>
          <w:rFonts w:hint="eastAsia" w:ascii="楷体" w:hAnsi="楷体" w:eastAsia="楷体" w:cs="楷体"/>
          <w:b/>
          <w:sz w:val="32"/>
          <w:szCs w:val="32"/>
        </w:rPr>
        <w:t>（二）服务大局，积极履职，在“大统战”上积极作为</w:t>
      </w:r>
    </w:p>
    <w:p>
      <w:pPr>
        <w:ind w:firstLine="642" w:firstLineChars="200"/>
        <w:jc w:val="left"/>
        <w:rPr>
          <w:rFonts w:ascii="仿宋_GB2312" w:hAnsi="仿宋_GB2312" w:eastAsia="仿宋_GB2312" w:cs="仿宋_GB2312"/>
          <w:bCs/>
          <w:sz w:val="32"/>
          <w:szCs w:val="32"/>
        </w:rPr>
      </w:pPr>
      <w:r>
        <w:rPr>
          <w:rFonts w:hint="eastAsia" w:ascii="仿宋_GB2312" w:eastAsia="仿宋_GB2312"/>
          <w:b/>
          <w:sz w:val="32"/>
          <w:szCs w:val="32"/>
        </w:rPr>
        <w:t>1.致力营商环境。</w:t>
      </w:r>
      <w:r>
        <w:rPr>
          <w:rFonts w:hint="eastAsia" w:ascii="仿宋_GB2312" w:hAnsi="仿宋_GB2312" w:eastAsia="仿宋_GB2312" w:cs="仿宋_GB2312"/>
          <w:bCs/>
          <w:sz w:val="32"/>
          <w:szCs w:val="32"/>
        </w:rPr>
        <w:t>以提升服务水平为着力点，促进“两个健康”发展。</w:t>
      </w:r>
      <w:r>
        <w:rPr>
          <w:rFonts w:hint="eastAsia" w:ascii="仿宋" w:hAnsi="仿宋" w:eastAsia="仿宋" w:cs="仿宋"/>
          <w:color w:val="333333"/>
          <w:sz w:val="32"/>
          <w:szCs w:val="32"/>
          <w:shd w:val="clear" w:color="auto" w:fill="FFFFFF"/>
        </w:rPr>
        <w:t>打造线上线下一体的全县民营企业一站式金融综合服务平台，截</w:t>
      </w:r>
      <w:r>
        <w:rPr>
          <w:rFonts w:hint="eastAsia" w:ascii="仿宋" w:hAnsi="仿宋" w:eastAsia="仿宋" w:cs="仿宋"/>
          <w:color w:val="333333"/>
          <w:sz w:val="32"/>
          <w:szCs w:val="32"/>
          <w:shd w:val="clear" w:color="auto" w:fill="FFFFFF"/>
          <w:lang w:eastAsia="zh-CN"/>
        </w:rPr>
        <w:t>至</w:t>
      </w:r>
      <w:r>
        <w:rPr>
          <w:rFonts w:hint="eastAsia" w:ascii="仿宋" w:hAnsi="仿宋" w:eastAsia="仿宋" w:cs="仿宋"/>
          <w:color w:val="333333"/>
          <w:sz w:val="32"/>
          <w:szCs w:val="32"/>
          <w:shd w:val="clear" w:color="auto" w:fill="FFFFFF"/>
        </w:rPr>
        <w:t>目前，银行向企业发放贷款5.23亿元，商会会员互助227次、2800多万元，有效化解企业融资难题</w:t>
      </w:r>
      <w:r>
        <w:rPr>
          <w:rFonts w:hint="eastAsia" w:ascii="仿宋_GB2312" w:hAnsi="仿宋_GB2312" w:eastAsia="仿宋_GB2312" w:cs="仿宋_GB2312"/>
          <w:bCs/>
          <w:sz w:val="32"/>
          <w:szCs w:val="32"/>
        </w:rPr>
        <w:t>；以弘扬企业家精神为立足点，加强对优秀民营企业家政治推荐和培训力度，全年受教育培训人员达200余人次，换届时安排175名非公经济人士担任县人大代表、政协委员；践行“亲”“清”政商关系，按照清廉企业建设要求，推进企业签订廉洁从业承诺书；联合县司法局开展“万所联万会”实践活动，用法律护航企业发展；开展民营企业大走访活动，收集整理意见建议36条，涉法涉诉诉求24起，圆满结案23起。</w:t>
      </w:r>
    </w:p>
    <w:p>
      <w:pPr>
        <w:ind w:firstLine="642" w:firstLineChars="200"/>
        <w:jc w:val="left"/>
        <w:rPr>
          <w:rFonts w:ascii="仿宋_GB2312" w:hAnsi="仿宋_GB2312" w:eastAsia="仿宋_GB2312" w:cs="仿宋_GB2312"/>
          <w:bCs/>
          <w:sz w:val="32"/>
          <w:szCs w:val="32"/>
        </w:rPr>
      </w:pPr>
      <w:r>
        <w:rPr>
          <w:rFonts w:hint="eastAsia" w:ascii="仿宋_GB2312" w:eastAsia="仿宋_GB2312"/>
          <w:b/>
          <w:sz w:val="32"/>
          <w:szCs w:val="32"/>
        </w:rPr>
        <w:t>2.支持党派建设。</w:t>
      </w:r>
      <w:r>
        <w:rPr>
          <w:rFonts w:hint="eastAsia" w:ascii="仿宋_GB2312" w:hAnsi="仿宋_GB2312" w:eastAsia="仿宋_GB2312" w:cs="仿宋_GB2312"/>
          <w:bCs/>
          <w:sz w:val="32"/>
          <w:szCs w:val="32"/>
        </w:rPr>
        <w:t>选派党外优秀青年参加省市县干部培训班、挂职锻炼，做好政治安排；推动县农工党总支“党员之家”选址筹划等工作，解决实际问题；助力民革县总支、农工党县总支就经济社会发展中热点、难点问题深入调研，收集“百字金点子”45条；支持参政议政，民革《化解家校矛盾 促进教育和谐》，农工党《推进中医药事业发展 助力健康万载建设》等政协大会提案得到一致好评；支持民主党派加强自身建设。对个别民主党派换届后出现的问题逐个剖析，分析原因、督促整改。</w:t>
      </w:r>
    </w:p>
    <w:p>
      <w:pPr>
        <w:ind w:firstLine="642" w:firstLineChars="200"/>
        <w:jc w:val="left"/>
        <w:rPr>
          <w:rFonts w:ascii="仿宋_GB2312" w:hAnsi="仿宋_GB2312" w:eastAsia="仿宋_GB2312" w:cs="仿宋_GB2312"/>
          <w:bCs/>
          <w:sz w:val="32"/>
          <w:szCs w:val="32"/>
        </w:rPr>
      </w:pPr>
      <w:r>
        <w:rPr>
          <w:rFonts w:hint="eastAsia" w:ascii="仿宋_GB2312" w:eastAsia="仿宋_GB2312"/>
          <w:b/>
          <w:sz w:val="32"/>
          <w:szCs w:val="32"/>
        </w:rPr>
        <w:t>3.加强侨联工作。</w:t>
      </w:r>
      <w:r>
        <w:rPr>
          <w:rFonts w:hint="eastAsia" w:ascii="仿宋_GB2312" w:hAnsi="仿宋_GB2312" w:eastAsia="仿宋_GB2312" w:cs="仿宋_GB2312"/>
          <w:bCs/>
          <w:sz w:val="32"/>
          <w:szCs w:val="32"/>
        </w:rPr>
        <w:t>搭建侨胞学习交流、增进友谊的活动平台，新建“万载县侨胞之家”；举办全县归侨侨眷综合技能培训班及形式多样的联谊交友活动；建立侨企结对帮扶机制，协调解决县侨企生产经营过程中遇到的困难和问题；持续开展海外侨胞调查摸底工作。</w:t>
      </w:r>
    </w:p>
    <w:p>
      <w:pPr>
        <w:ind w:firstLine="642" w:firstLineChars="200"/>
        <w:jc w:val="left"/>
        <w:rPr>
          <w:rFonts w:ascii="仿宋_GB2312" w:hAnsi="仿宋_GB2312" w:eastAsia="仿宋_GB2312" w:cs="仿宋_GB2312"/>
          <w:bCs/>
          <w:sz w:val="32"/>
          <w:szCs w:val="32"/>
        </w:rPr>
      </w:pPr>
      <w:r>
        <w:rPr>
          <w:rFonts w:hint="eastAsia" w:ascii="仿宋_GB2312" w:eastAsia="仿宋_GB2312"/>
          <w:b/>
          <w:sz w:val="32"/>
          <w:szCs w:val="32"/>
        </w:rPr>
        <w:t>4.倾力侨务服务。</w:t>
      </w:r>
      <w:r>
        <w:rPr>
          <w:rFonts w:hint="eastAsia" w:ascii="仿宋_GB2312" w:hAnsi="仿宋_GB2312" w:eastAsia="仿宋_GB2312" w:cs="仿宋_GB2312"/>
          <w:bCs/>
          <w:sz w:val="32"/>
          <w:szCs w:val="32"/>
        </w:rPr>
        <w:t>着力构建为侨服务新机制，建立了万载县海外统战工作协作机制、服务侨资企业联系点工作机制，做到服务侨资企业常态化；在县城区内9个社区及教育部门等重要系统成立了侨眷联谊小组，在点、面上搭建了为侨服务框架，形成了县、乡镇（街道）、社区三级侨务工作网络，夯实了为侨服务基础；积极走访慰问困难归侨侨眷，及时送上党和政府对侨眷侨属的关怀。</w:t>
      </w:r>
    </w:p>
    <w:p>
      <w:pPr>
        <w:ind w:firstLine="321" w:firstLineChars="100"/>
        <w:rPr>
          <w:rFonts w:ascii="楷体" w:hAnsi="楷体" w:eastAsia="楷体" w:cs="楷体"/>
          <w:b/>
          <w:sz w:val="32"/>
          <w:szCs w:val="32"/>
        </w:rPr>
      </w:pPr>
      <w:r>
        <w:rPr>
          <w:rFonts w:hint="eastAsia" w:ascii="楷体" w:hAnsi="楷体" w:eastAsia="楷体" w:cs="楷体"/>
          <w:b/>
          <w:sz w:val="32"/>
          <w:szCs w:val="32"/>
        </w:rPr>
        <w:t>（三）砥砺初心，践行使命，在“大发展”上善于作为</w:t>
      </w:r>
    </w:p>
    <w:p>
      <w:pPr>
        <w:ind w:firstLine="642" w:firstLineChars="200"/>
        <w:rPr>
          <w:rFonts w:ascii="仿宋_GB2312" w:hAnsi="仿宋_GB2312" w:eastAsia="仿宋_GB2312" w:cs="仿宋_GB2312"/>
          <w:bCs/>
          <w:sz w:val="32"/>
          <w:szCs w:val="32"/>
        </w:rPr>
      </w:pPr>
      <w:r>
        <w:rPr>
          <w:rFonts w:hint="eastAsia" w:ascii="仿宋_GB2312" w:eastAsia="仿宋_GB2312"/>
          <w:b/>
          <w:sz w:val="32"/>
          <w:szCs w:val="32"/>
        </w:rPr>
        <w:t>1.办实事抒民困。</w:t>
      </w:r>
      <w:r>
        <w:rPr>
          <w:rFonts w:hint="eastAsia" w:ascii="仿宋_GB2312" w:hAnsi="仿宋_GB2312" w:eastAsia="仿宋_GB2312" w:cs="仿宋_GB2312"/>
          <w:bCs/>
          <w:sz w:val="32"/>
          <w:szCs w:val="32"/>
        </w:rPr>
        <w:t>把党史学习教育成果转化为“为群众办实事”实际行动。组织民主党派医疗专家为企业员工健康体检、职业病防护指导、中医药文化进校园科普活动等；组织县知联会、新联会、非公企业、侨界志愿者服务队赴边远山区开展“同心 助学行”、“同心 助弱行”活动，走访慰问一线环卫工人等；动员统战成员单位通过扶贫网站购买扶贫物资等。</w:t>
      </w:r>
    </w:p>
    <w:p>
      <w:pPr>
        <w:ind w:firstLine="642" w:firstLineChars="200"/>
        <w:rPr>
          <w:rFonts w:eastAsia="仿宋_GB2312"/>
          <w:sz w:val="32"/>
          <w:szCs w:val="20"/>
        </w:rPr>
      </w:pPr>
      <w:r>
        <w:rPr>
          <w:rFonts w:hint="eastAsia" w:ascii="仿宋_GB2312" w:eastAsia="仿宋_GB2312"/>
          <w:b/>
          <w:sz w:val="32"/>
          <w:szCs w:val="32"/>
        </w:rPr>
        <w:t>2.惠民生促发展。</w:t>
      </w:r>
      <w:r>
        <w:rPr>
          <w:rFonts w:hint="eastAsia" w:ascii="仿宋_GB2312" w:hAnsi="仿宋_GB2312" w:eastAsia="仿宋_GB2312" w:cs="仿宋_GB2312"/>
          <w:bCs/>
          <w:sz w:val="32"/>
          <w:szCs w:val="32"/>
        </w:rPr>
        <w:t>助力巩固拓展脱贫攻坚成果同乡村振兴有效衔接，启动“万企兴万村”行动，组织5所商会158名会员参加“感党恩 促消费 兴乡村”为主题的第三届农产品展销会；加强对接贫困村帮扶行动，联合相关单位为罗城镇麻田村李家修建道路提供帮扶资金十万元；助力白水乡槽岭村“红色名村”建设，积极参与县棚户区改造工作、卫生城市共建活动、美丽宜居城市的创建工作等。</w:t>
      </w:r>
    </w:p>
    <w:p>
      <w:pPr>
        <w:ind w:firstLine="642" w:firstLineChars="200"/>
        <w:rPr>
          <w:rFonts w:hint="eastAsia" w:ascii="仿宋_GB2312" w:hAnsi="仿宋_GB2312" w:eastAsia="仿宋_GB2312" w:cs="仿宋_GB2312"/>
          <w:bCs/>
          <w:sz w:val="32"/>
          <w:szCs w:val="32"/>
        </w:rPr>
      </w:pPr>
      <w:r>
        <w:rPr>
          <w:rFonts w:hint="eastAsia" w:ascii="仿宋_GB2312" w:eastAsia="仿宋_GB2312"/>
          <w:b/>
          <w:sz w:val="32"/>
          <w:szCs w:val="32"/>
        </w:rPr>
        <w:t>3.转作风强本领。</w:t>
      </w:r>
      <w:r>
        <w:rPr>
          <w:rFonts w:hint="eastAsia" w:ascii="仿宋_GB2312" w:hAnsi="仿宋_GB2312" w:eastAsia="仿宋_GB2312" w:cs="仿宋_GB2312"/>
          <w:bCs/>
          <w:sz w:val="32"/>
          <w:szCs w:val="32"/>
        </w:rPr>
        <w:t>部机关开展了党史学习教育</w:t>
      </w:r>
      <w:bookmarkStart w:id="0" w:name="_GoBack"/>
      <w:bookmarkEnd w:id="0"/>
      <w:r>
        <w:rPr>
          <w:rFonts w:hint="eastAsia" w:ascii="仿宋_GB2312" w:hAnsi="仿宋_GB2312" w:eastAsia="仿宋_GB2312" w:cs="仿宋_GB2312"/>
          <w:bCs/>
          <w:sz w:val="32"/>
          <w:szCs w:val="32"/>
        </w:rPr>
        <w:t>、 “强作风、抓落实、助发展”提升年活动，“学先进、转作风、见实效”活动、“三学三比”等系列活动，对思想、工作、作风、纪律等方面的突出问题进行了认真的梳理，并制定了整改方案，落实了整改措施，通过这一系列活动，干部争先创优意识、担当精神焕然一新。</w:t>
      </w:r>
    </w:p>
    <w:p>
      <w:pPr>
        <w:spacing w:line="540" w:lineRule="exact"/>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（三）项目产出情况。</w:t>
      </w:r>
    </w:p>
    <w:p>
      <w:pPr>
        <w:spacing w:line="520" w:lineRule="exact"/>
        <w:ind w:firstLine="629"/>
        <w:rPr>
          <w:rFonts w:hint="eastAsia" w:ascii="仿宋_GB2312" w:hAnsi="宋体" w:eastAsia="仿宋_GB2312" w:cs="宋体"/>
          <w:bCs/>
          <w:sz w:val="32"/>
          <w:szCs w:val="32"/>
        </w:rPr>
      </w:pPr>
      <w:r>
        <w:rPr>
          <w:rFonts w:hint="eastAsia" w:ascii="仿宋_GB2312" w:hAnsi="宋体" w:eastAsia="仿宋_GB2312" w:cs="宋体"/>
          <w:bCs/>
          <w:sz w:val="32"/>
          <w:szCs w:val="32"/>
        </w:rPr>
        <w:t>圆满完成了年初指定的各项目标任务。</w:t>
      </w:r>
    </w:p>
    <w:p>
      <w:pPr>
        <w:spacing w:line="540" w:lineRule="exact"/>
        <w:ind w:firstLine="640" w:firstLineChars="200"/>
        <w:outlineLvl w:val="0"/>
        <w:rPr>
          <w:rFonts w:hint="eastAsia" w:ascii="仿宋_GB2312" w:hAnsi="仿宋_GB2312" w:eastAsia="仿宋_GB2312"/>
          <w:sz w:val="32"/>
          <w:szCs w:val="32"/>
        </w:rPr>
      </w:pPr>
      <w:r>
        <w:rPr>
          <w:rFonts w:hint="eastAsia" w:ascii="仿宋_GB2312" w:hAnsi="仿宋_GB2312" w:eastAsia="仿宋_GB2312"/>
          <w:sz w:val="32"/>
          <w:szCs w:val="32"/>
        </w:rPr>
        <w:t>（四）项目效益情况。</w:t>
      </w:r>
    </w:p>
    <w:p>
      <w:pPr>
        <w:pStyle w:val="2"/>
        <w:ind w:firstLine="600"/>
        <w:rPr>
          <w:rFonts w:hint="eastAsia"/>
        </w:rPr>
      </w:pPr>
      <w:r>
        <w:rPr>
          <w:rFonts w:hint="eastAsia"/>
        </w:rPr>
        <w:t>获得2021年度全省统战工作高质量发展考核先进县，2021年度全市统战工作高质量发展考核先进单位、全市统战理论政策研究创新成果奖、全市统战工作实践创新成果奖</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2"/>
        <w:ind w:firstLine="600"/>
        <w:rPr>
          <w:rFonts w:hint="eastAsia"/>
        </w:rPr>
      </w:pPr>
      <w:r>
        <w:rPr>
          <w:rFonts w:hint="eastAsia"/>
        </w:rPr>
        <w:t>无</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六、有关建议</w:t>
      </w:r>
    </w:p>
    <w:p>
      <w:pPr>
        <w:pStyle w:val="2"/>
        <w:ind w:firstLine="600"/>
        <w:rPr>
          <w:rFonts w:hint="eastAsia"/>
        </w:rPr>
      </w:pPr>
      <w:r>
        <w:rPr>
          <w:rFonts w:hint="eastAsia"/>
        </w:rPr>
        <w:t>无</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七、其他需要说明的问题</w:t>
      </w:r>
    </w:p>
    <w:p>
      <w:pPr>
        <w:pStyle w:val="2"/>
        <w:ind w:firstLine="600"/>
        <w:rPr>
          <w:rFonts w:hint="eastAsia"/>
        </w:rPr>
      </w:pPr>
      <w:r>
        <w:rPr>
          <w:rFonts w:hint="eastAsia"/>
        </w:rPr>
        <w:t>无</w:t>
      </w:r>
    </w:p>
    <w:p>
      <w:pPr>
        <w:spacing w:line="600" w:lineRule="exact"/>
        <w:rPr>
          <w:rFonts w:hint="eastAsia" w:ascii="仿宋_GB2312" w:eastAsia="仿宋_GB2312"/>
          <w:sz w:val="32"/>
          <w:szCs w:val="32"/>
        </w:rPr>
      </w:pPr>
    </w:p>
    <w:p>
      <w:pPr>
        <w:spacing w:line="578"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部门评价表</w:t>
      </w:r>
    </w:p>
    <w:p>
      <w:pPr>
        <w:spacing w:line="200" w:lineRule="exact"/>
        <w:jc w:val="center"/>
        <w:rPr>
          <w:rFonts w:hint="eastAsia" w:ascii="方正小标宋简体" w:hAnsi="方正小标宋简体" w:eastAsia="方正小标宋简体" w:cs="方正小标宋简体"/>
          <w:bCs/>
          <w:sz w:val="44"/>
          <w:szCs w:val="44"/>
        </w:rPr>
      </w:pPr>
    </w:p>
    <w:tbl>
      <w:tblPr>
        <w:tblStyle w:val="20"/>
        <w:tblpPr w:leftFromText="180" w:rightFromText="180" w:vertAnchor="text" w:horzAnchor="page" w:tblpXSpec="center" w:tblpY="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44"/>
        <w:gridCol w:w="17"/>
        <w:gridCol w:w="497"/>
        <w:gridCol w:w="419"/>
        <w:gridCol w:w="703"/>
        <w:gridCol w:w="354"/>
        <w:gridCol w:w="215"/>
        <w:gridCol w:w="759"/>
        <w:gridCol w:w="231"/>
        <w:gridCol w:w="1034"/>
        <w:gridCol w:w="579"/>
        <w:gridCol w:w="423"/>
        <w:gridCol w:w="358"/>
        <w:gridCol w:w="23"/>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项目名称：</w:t>
            </w:r>
          </w:p>
        </w:tc>
        <w:tc>
          <w:tcPr>
            <w:tcW w:w="6822" w:type="dxa"/>
            <w:gridSpan w:val="12"/>
            <w:vAlign w:val="center"/>
          </w:tcPr>
          <w:p>
            <w:pPr>
              <w:spacing w:line="300" w:lineRule="exact"/>
              <w:rPr>
                <w:rFonts w:hint="eastAsia" w:ascii="宋体" w:hAnsi="宋体"/>
                <w:szCs w:val="21"/>
              </w:rPr>
            </w:pPr>
            <w:r>
              <w:rPr>
                <w:rFonts w:hint="eastAsia" w:ascii="宋体" w:hAnsi="宋体"/>
                <w:szCs w:val="21"/>
              </w:rPr>
              <w:t>统战部经费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主管部门</w:t>
            </w:r>
          </w:p>
        </w:tc>
        <w:tc>
          <w:tcPr>
            <w:tcW w:w="1476" w:type="dxa"/>
            <w:gridSpan w:val="3"/>
            <w:vAlign w:val="center"/>
          </w:tcPr>
          <w:p>
            <w:pPr>
              <w:spacing w:line="300" w:lineRule="exact"/>
              <w:jc w:val="center"/>
              <w:rPr>
                <w:rFonts w:hint="eastAsia" w:ascii="宋体" w:hAnsi="宋体"/>
                <w:szCs w:val="21"/>
              </w:rPr>
            </w:pPr>
            <w:r>
              <w:rPr>
                <w:rFonts w:hint="eastAsia" w:ascii="宋体" w:hAnsi="宋体"/>
                <w:szCs w:val="21"/>
              </w:rPr>
              <w:t>统战部</w:t>
            </w:r>
          </w:p>
        </w:tc>
        <w:tc>
          <w:tcPr>
            <w:tcW w:w="3241" w:type="dxa"/>
            <w:gridSpan w:val="6"/>
            <w:vAlign w:val="center"/>
          </w:tcPr>
          <w:p>
            <w:pPr>
              <w:spacing w:line="300" w:lineRule="exact"/>
              <w:jc w:val="center"/>
              <w:rPr>
                <w:rFonts w:hint="eastAsia" w:ascii="宋体" w:hAnsi="宋体"/>
                <w:szCs w:val="21"/>
              </w:rPr>
            </w:pPr>
            <w:r>
              <w:rPr>
                <w:rFonts w:hint="eastAsia" w:ascii="宋体" w:hAnsi="宋体"/>
                <w:szCs w:val="21"/>
              </w:rPr>
              <w:t>项目实施单位</w:t>
            </w:r>
          </w:p>
        </w:tc>
        <w:tc>
          <w:tcPr>
            <w:tcW w:w="2105" w:type="dxa"/>
            <w:gridSpan w:val="3"/>
            <w:vAlign w:val="center"/>
          </w:tcPr>
          <w:p>
            <w:pPr>
              <w:spacing w:line="300" w:lineRule="exact"/>
              <w:jc w:val="center"/>
              <w:rPr>
                <w:rFonts w:hint="eastAsia" w:ascii="宋体" w:hAnsi="宋体"/>
                <w:szCs w:val="21"/>
              </w:rPr>
            </w:pPr>
            <w:r>
              <w:rPr>
                <w:rFonts w:hint="eastAsia" w:ascii="宋体" w:hAnsi="宋体"/>
                <w:szCs w:val="21"/>
              </w:rPr>
              <w:t>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项目负责人</w:t>
            </w:r>
          </w:p>
        </w:tc>
        <w:tc>
          <w:tcPr>
            <w:tcW w:w="1476" w:type="dxa"/>
            <w:gridSpan w:val="3"/>
            <w:vAlign w:val="center"/>
          </w:tcPr>
          <w:p>
            <w:pPr>
              <w:spacing w:line="300" w:lineRule="exact"/>
              <w:jc w:val="center"/>
              <w:rPr>
                <w:rFonts w:hint="eastAsia" w:ascii="宋体" w:hAnsi="宋体"/>
                <w:szCs w:val="21"/>
              </w:rPr>
            </w:pPr>
            <w:r>
              <w:rPr>
                <w:rFonts w:hint="eastAsia" w:ascii="宋体" w:hAnsi="宋体"/>
                <w:szCs w:val="21"/>
              </w:rPr>
              <w:t>郭永红</w:t>
            </w:r>
          </w:p>
        </w:tc>
        <w:tc>
          <w:tcPr>
            <w:tcW w:w="3241" w:type="dxa"/>
            <w:gridSpan w:val="6"/>
            <w:vAlign w:val="center"/>
          </w:tcPr>
          <w:p>
            <w:pPr>
              <w:spacing w:line="300" w:lineRule="exact"/>
              <w:jc w:val="center"/>
              <w:rPr>
                <w:rFonts w:hint="eastAsia" w:ascii="宋体" w:hAnsi="宋体"/>
                <w:szCs w:val="21"/>
              </w:rPr>
            </w:pPr>
            <w:r>
              <w:rPr>
                <w:rFonts w:hint="eastAsia" w:ascii="宋体" w:hAnsi="宋体"/>
                <w:szCs w:val="21"/>
              </w:rPr>
              <w:t>联系电话</w:t>
            </w:r>
          </w:p>
        </w:tc>
        <w:tc>
          <w:tcPr>
            <w:tcW w:w="2105" w:type="dxa"/>
            <w:gridSpan w:val="3"/>
            <w:vAlign w:val="center"/>
          </w:tcPr>
          <w:p>
            <w:pPr>
              <w:spacing w:line="300" w:lineRule="exact"/>
              <w:jc w:val="center"/>
              <w:rPr>
                <w:rFonts w:hint="eastAsia" w:ascii="宋体" w:hAnsi="宋体"/>
                <w:szCs w:val="21"/>
              </w:rPr>
            </w:pPr>
            <w:r>
              <w:rPr>
                <w:rFonts w:hint="eastAsia" w:ascii="仿宋" w:hAnsi="仿宋" w:eastAsia="仿宋"/>
                <w:szCs w:val="21"/>
              </w:rPr>
              <w:t>13970521888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项目类型</w:t>
            </w:r>
          </w:p>
        </w:tc>
        <w:tc>
          <w:tcPr>
            <w:tcW w:w="6822" w:type="dxa"/>
            <w:gridSpan w:val="12"/>
            <w:vAlign w:val="center"/>
          </w:tcPr>
          <w:p>
            <w:pPr>
              <w:spacing w:line="300" w:lineRule="exact"/>
              <w:jc w:val="center"/>
              <w:rPr>
                <w:rFonts w:hint="eastAsia" w:ascii="宋体" w:hAnsi="宋体"/>
                <w:szCs w:val="21"/>
              </w:rPr>
            </w:pPr>
            <w:r>
              <w:rPr>
                <w:rFonts w:hint="eastAsia" w:ascii="宋体" w:hAnsi="宋体"/>
                <w:szCs w:val="21"/>
              </w:rPr>
              <w:t>经常性项目（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00" w:hRule="atLeast"/>
        </w:trPr>
        <w:tc>
          <w:tcPr>
            <w:tcW w:w="1858" w:type="dxa"/>
            <w:gridSpan w:val="3"/>
            <w:vAlign w:val="center"/>
          </w:tcPr>
          <w:p>
            <w:pPr>
              <w:spacing w:line="240" w:lineRule="exact"/>
              <w:jc w:val="center"/>
              <w:rPr>
                <w:rFonts w:hint="eastAsia" w:ascii="宋体" w:hAnsi="宋体"/>
                <w:szCs w:val="21"/>
              </w:rPr>
            </w:pPr>
            <w:r>
              <w:rPr>
                <w:rFonts w:hint="eastAsia" w:ascii="宋体" w:hAnsi="宋体"/>
                <w:szCs w:val="21"/>
              </w:rPr>
              <w:t>计划投资额</w:t>
            </w:r>
          </w:p>
          <w:p>
            <w:pPr>
              <w:spacing w:line="240" w:lineRule="exact"/>
              <w:jc w:val="center"/>
              <w:rPr>
                <w:rFonts w:hint="eastAsia" w:ascii="宋体" w:hAnsi="宋体"/>
                <w:szCs w:val="21"/>
              </w:rPr>
            </w:pPr>
            <w:r>
              <w:rPr>
                <w:rFonts w:hint="eastAsia" w:ascii="宋体" w:hAnsi="宋体"/>
                <w:szCs w:val="21"/>
              </w:rPr>
              <w:t>（万元）</w:t>
            </w:r>
          </w:p>
        </w:tc>
        <w:tc>
          <w:tcPr>
            <w:tcW w:w="1122" w:type="dxa"/>
            <w:gridSpan w:val="2"/>
            <w:vAlign w:val="center"/>
          </w:tcPr>
          <w:p>
            <w:pPr>
              <w:spacing w:line="240" w:lineRule="exact"/>
              <w:jc w:val="center"/>
              <w:rPr>
                <w:rFonts w:hint="eastAsia" w:ascii="宋体" w:hAnsi="宋体"/>
                <w:szCs w:val="21"/>
              </w:rPr>
            </w:pPr>
            <w:r>
              <w:rPr>
                <w:rFonts w:hint="eastAsia" w:ascii="宋体" w:hAnsi="宋体"/>
                <w:szCs w:val="21"/>
              </w:rPr>
              <w:t>47</w:t>
            </w:r>
          </w:p>
        </w:tc>
        <w:tc>
          <w:tcPr>
            <w:tcW w:w="1559" w:type="dxa"/>
            <w:gridSpan w:val="4"/>
            <w:vAlign w:val="center"/>
          </w:tcPr>
          <w:p>
            <w:pPr>
              <w:spacing w:line="240" w:lineRule="exact"/>
              <w:jc w:val="center"/>
              <w:rPr>
                <w:rFonts w:hint="eastAsia" w:ascii="宋体" w:hAnsi="宋体"/>
                <w:szCs w:val="21"/>
              </w:rPr>
            </w:pPr>
            <w:r>
              <w:rPr>
                <w:rFonts w:hint="eastAsia" w:ascii="宋体" w:hAnsi="宋体"/>
                <w:szCs w:val="21"/>
              </w:rPr>
              <w:t>实际到位资金（万元）</w:t>
            </w:r>
          </w:p>
        </w:tc>
        <w:tc>
          <w:tcPr>
            <w:tcW w:w="1034" w:type="dxa"/>
            <w:vAlign w:val="center"/>
          </w:tcPr>
          <w:p>
            <w:pPr>
              <w:spacing w:line="240" w:lineRule="exact"/>
              <w:jc w:val="center"/>
              <w:rPr>
                <w:rFonts w:hint="eastAsia" w:ascii="宋体" w:hAnsi="宋体"/>
                <w:szCs w:val="21"/>
              </w:rPr>
            </w:pPr>
            <w:r>
              <w:rPr>
                <w:rFonts w:hint="eastAsia" w:ascii="宋体" w:hAnsi="宋体"/>
                <w:szCs w:val="21"/>
              </w:rPr>
              <w:t>47</w:t>
            </w:r>
          </w:p>
        </w:tc>
        <w:tc>
          <w:tcPr>
            <w:tcW w:w="1383" w:type="dxa"/>
            <w:gridSpan w:val="4"/>
            <w:vAlign w:val="center"/>
          </w:tcPr>
          <w:p>
            <w:pPr>
              <w:spacing w:line="240" w:lineRule="exact"/>
              <w:jc w:val="center"/>
              <w:rPr>
                <w:rFonts w:hint="eastAsia" w:ascii="宋体" w:hAnsi="宋体"/>
                <w:szCs w:val="21"/>
              </w:rPr>
            </w:pPr>
            <w:r>
              <w:rPr>
                <w:rFonts w:hint="eastAsia" w:ascii="宋体" w:hAnsi="宋体"/>
                <w:szCs w:val="21"/>
              </w:rPr>
              <w:t>实际使用情况（万元）</w:t>
            </w:r>
          </w:p>
        </w:tc>
        <w:tc>
          <w:tcPr>
            <w:tcW w:w="1724" w:type="dxa"/>
            <w:vAlign w:val="center"/>
          </w:tcPr>
          <w:p>
            <w:pPr>
              <w:spacing w:line="240" w:lineRule="exact"/>
              <w:jc w:val="center"/>
              <w:rPr>
                <w:rFonts w:hint="eastAsia" w:ascii="宋体" w:hAnsi="宋体"/>
                <w:szCs w:val="21"/>
              </w:rPr>
            </w:pPr>
            <w:r>
              <w:rPr>
                <w:rFonts w:hint="eastAsia" w:ascii="宋体" w:hAnsi="宋体"/>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1122" w:type="dxa"/>
            <w:gridSpan w:val="2"/>
            <w:vAlign w:val="center"/>
          </w:tcPr>
          <w:p>
            <w:pPr>
              <w:spacing w:line="300" w:lineRule="exact"/>
              <w:jc w:val="center"/>
              <w:rPr>
                <w:rFonts w:hint="eastAsia" w:ascii="宋体" w:hAnsi="宋体"/>
                <w:szCs w:val="21"/>
              </w:rPr>
            </w:pPr>
          </w:p>
        </w:tc>
        <w:tc>
          <w:tcPr>
            <w:tcW w:w="1559" w:type="dxa"/>
            <w:gridSpan w:val="4"/>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1034" w:type="dxa"/>
            <w:vAlign w:val="center"/>
          </w:tcPr>
          <w:p>
            <w:pPr>
              <w:spacing w:line="300" w:lineRule="exact"/>
              <w:jc w:val="center"/>
              <w:rPr>
                <w:rFonts w:hint="eastAsia" w:ascii="宋体" w:hAnsi="宋体"/>
                <w:szCs w:val="21"/>
              </w:rPr>
            </w:pPr>
          </w:p>
        </w:tc>
        <w:tc>
          <w:tcPr>
            <w:tcW w:w="1383" w:type="dxa"/>
            <w:gridSpan w:val="4"/>
            <w:vAlign w:val="center"/>
          </w:tcPr>
          <w:p>
            <w:pPr>
              <w:spacing w:line="300" w:lineRule="exact"/>
              <w:jc w:val="center"/>
              <w:rPr>
                <w:rFonts w:hint="eastAsia" w:ascii="宋体" w:hAnsi="宋体"/>
                <w:szCs w:val="21"/>
              </w:rPr>
            </w:pPr>
          </w:p>
        </w:tc>
        <w:tc>
          <w:tcPr>
            <w:tcW w:w="1724" w:type="dxa"/>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省财政</w:t>
            </w:r>
          </w:p>
        </w:tc>
        <w:tc>
          <w:tcPr>
            <w:tcW w:w="1122" w:type="dxa"/>
            <w:gridSpan w:val="2"/>
            <w:vAlign w:val="center"/>
          </w:tcPr>
          <w:p>
            <w:pPr>
              <w:spacing w:line="300" w:lineRule="exact"/>
              <w:jc w:val="center"/>
              <w:rPr>
                <w:rFonts w:hint="eastAsia" w:ascii="宋体" w:hAnsi="宋体"/>
                <w:szCs w:val="21"/>
              </w:rPr>
            </w:pPr>
          </w:p>
        </w:tc>
        <w:tc>
          <w:tcPr>
            <w:tcW w:w="1559" w:type="dxa"/>
            <w:gridSpan w:val="4"/>
            <w:vAlign w:val="center"/>
          </w:tcPr>
          <w:p>
            <w:pPr>
              <w:spacing w:line="300" w:lineRule="exact"/>
              <w:jc w:val="center"/>
              <w:rPr>
                <w:rFonts w:hint="eastAsia" w:ascii="宋体" w:hAnsi="宋体"/>
                <w:szCs w:val="21"/>
              </w:rPr>
            </w:pPr>
            <w:r>
              <w:rPr>
                <w:rFonts w:hint="eastAsia" w:ascii="宋体" w:hAnsi="宋体"/>
                <w:szCs w:val="21"/>
              </w:rPr>
              <w:t>省财政</w:t>
            </w:r>
          </w:p>
        </w:tc>
        <w:tc>
          <w:tcPr>
            <w:tcW w:w="1034" w:type="dxa"/>
            <w:vAlign w:val="center"/>
          </w:tcPr>
          <w:p>
            <w:pPr>
              <w:spacing w:line="300" w:lineRule="exact"/>
              <w:jc w:val="center"/>
              <w:rPr>
                <w:rFonts w:hint="eastAsia" w:ascii="宋体" w:hAnsi="宋体"/>
                <w:szCs w:val="21"/>
              </w:rPr>
            </w:pPr>
          </w:p>
        </w:tc>
        <w:tc>
          <w:tcPr>
            <w:tcW w:w="1383" w:type="dxa"/>
            <w:gridSpan w:val="4"/>
            <w:vAlign w:val="center"/>
          </w:tcPr>
          <w:p>
            <w:pPr>
              <w:spacing w:line="300" w:lineRule="exact"/>
              <w:jc w:val="center"/>
              <w:rPr>
                <w:rFonts w:hint="eastAsia" w:ascii="宋体" w:hAnsi="宋体"/>
                <w:szCs w:val="21"/>
              </w:rPr>
            </w:pPr>
          </w:p>
        </w:tc>
        <w:tc>
          <w:tcPr>
            <w:tcW w:w="1724" w:type="dxa"/>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市县财政</w:t>
            </w:r>
          </w:p>
        </w:tc>
        <w:tc>
          <w:tcPr>
            <w:tcW w:w="1122" w:type="dxa"/>
            <w:gridSpan w:val="2"/>
            <w:vAlign w:val="center"/>
          </w:tcPr>
          <w:p>
            <w:pPr>
              <w:spacing w:line="300" w:lineRule="exact"/>
              <w:jc w:val="center"/>
              <w:rPr>
                <w:rFonts w:hint="eastAsia" w:ascii="宋体" w:hAnsi="宋体"/>
                <w:szCs w:val="21"/>
              </w:rPr>
            </w:pPr>
            <w:r>
              <w:rPr>
                <w:rFonts w:hint="eastAsia" w:ascii="宋体" w:hAnsi="宋体"/>
                <w:szCs w:val="21"/>
              </w:rPr>
              <w:t>47</w:t>
            </w:r>
          </w:p>
        </w:tc>
        <w:tc>
          <w:tcPr>
            <w:tcW w:w="1559" w:type="dxa"/>
            <w:gridSpan w:val="4"/>
            <w:vAlign w:val="center"/>
          </w:tcPr>
          <w:p>
            <w:pPr>
              <w:spacing w:line="300" w:lineRule="exact"/>
              <w:jc w:val="center"/>
              <w:rPr>
                <w:rFonts w:hint="eastAsia" w:ascii="宋体" w:hAnsi="宋体"/>
                <w:szCs w:val="21"/>
              </w:rPr>
            </w:pPr>
            <w:r>
              <w:rPr>
                <w:rFonts w:hint="eastAsia" w:ascii="宋体" w:hAnsi="宋体"/>
                <w:szCs w:val="21"/>
              </w:rPr>
              <w:t>市县财政</w:t>
            </w:r>
          </w:p>
        </w:tc>
        <w:tc>
          <w:tcPr>
            <w:tcW w:w="1034" w:type="dxa"/>
            <w:vAlign w:val="center"/>
          </w:tcPr>
          <w:p>
            <w:pPr>
              <w:spacing w:line="300" w:lineRule="exact"/>
              <w:jc w:val="center"/>
              <w:rPr>
                <w:rFonts w:hint="eastAsia" w:ascii="宋体" w:hAnsi="宋体"/>
                <w:szCs w:val="21"/>
              </w:rPr>
            </w:pPr>
            <w:r>
              <w:rPr>
                <w:rFonts w:hint="eastAsia" w:ascii="宋体" w:hAnsi="宋体"/>
                <w:szCs w:val="21"/>
              </w:rPr>
              <w:t>47</w:t>
            </w:r>
          </w:p>
        </w:tc>
        <w:tc>
          <w:tcPr>
            <w:tcW w:w="1383" w:type="dxa"/>
            <w:gridSpan w:val="4"/>
            <w:vAlign w:val="center"/>
          </w:tcPr>
          <w:p>
            <w:pPr>
              <w:spacing w:line="300" w:lineRule="exact"/>
              <w:jc w:val="center"/>
              <w:rPr>
                <w:rFonts w:hint="eastAsia" w:ascii="宋体" w:hAnsi="宋体"/>
                <w:szCs w:val="21"/>
              </w:rPr>
            </w:pPr>
          </w:p>
        </w:tc>
        <w:tc>
          <w:tcPr>
            <w:tcW w:w="1724" w:type="dxa"/>
            <w:vAlign w:val="center"/>
          </w:tcPr>
          <w:p>
            <w:pPr>
              <w:spacing w:line="300" w:lineRule="exact"/>
              <w:jc w:val="center"/>
              <w:rPr>
                <w:rFonts w:hint="eastAsia" w:ascii="宋体" w:hAnsi="宋体"/>
                <w:szCs w:val="21"/>
              </w:rPr>
            </w:pPr>
            <w:r>
              <w:rPr>
                <w:rFonts w:hint="eastAsia" w:ascii="宋体" w:hAnsi="宋体"/>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1858" w:type="dxa"/>
            <w:gridSpan w:val="3"/>
            <w:vAlign w:val="center"/>
          </w:tcPr>
          <w:p>
            <w:pPr>
              <w:spacing w:line="300" w:lineRule="exact"/>
              <w:jc w:val="center"/>
              <w:rPr>
                <w:rFonts w:hint="eastAsia" w:ascii="宋体" w:hAnsi="宋体"/>
                <w:szCs w:val="21"/>
              </w:rPr>
            </w:pPr>
            <w:r>
              <w:rPr>
                <w:rFonts w:hint="eastAsia" w:ascii="宋体" w:hAnsi="宋体"/>
                <w:szCs w:val="21"/>
              </w:rPr>
              <w:t>其他</w:t>
            </w:r>
          </w:p>
        </w:tc>
        <w:tc>
          <w:tcPr>
            <w:tcW w:w="1122" w:type="dxa"/>
            <w:gridSpan w:val="2"/>
            <w:vAlign w:val="center"/>
          </w:tcPr>
          <w:p>
            <w:pPr>
              <w:spacing w:line="300" w:lineRule="exact"/>
              <w:jc w:val="center"/>
              <w:rPr>
                <w:rFonts w:hint="eastAsia" w:ascii="宋体" w:hAnsi="宋体"/>
                <w:szCs w:val="21"/>
              </w:rPr>
            </w:pPr>
          </w:p>
        </w:tc>
        <w:tc>
          <w:tcPr>
            <w:tcW w:w="1559" w:type="dxa"/>
            <w:gridSpan w:val="4"/>
            <w:vAlign w:val="center"/>
          </w:tcPr>
          <w:p>
            <w:pPr>
              <w:spacing w:line="300" w:lineRule="exact"/>
              <w:jc w:val="center"/>
              <w:rPr>
                <w:rFonts w:hint="eastAsia" w:ascii="宋体" w:hAnsi="宋体"/>
                <w:szCs w:val="21"/>
              </w:rPr>
            </w:pPr>
            <w:r>
              <w:rPr>
                <w:rFonts w:hint="eastAsia" w:ascii="宋体" w:hAnsi="宋体"/>
                <w:szCs w:val="21"/>
              </w:rPr>
              <w:t>其他</w:t>
            </w:r>
          </w:p>
        </w:tc>
        <w:tc>
          <w:tcPr>
            <w:tcW w:w="1034" w:type="dxa"/>
            <w:vAlign w:val="center"/>
          </w:tcPr>
          <w:p>
            <w:pPr>
              <w:spacing w:line="300" w:lineRule="exact"/>
              <w:jc w:val="center"/>
              <w:rPr>
                <w:rFonts w:hint="eastAsia" w:ascii="宋体" w:hAnsi="宋体"/>
                <w:szCs w:val="21"/>
              </w:rPr>
            </w:pPr>
          </w:p>
        </w:tc>
        <w:tc>
          <w:tcPr>
            <w:tcW w:w="1383" w:type="dxa"/>
            <w:gridSpan w:val="4"/>
            <w:vAlign w:val="center"/>
          </w:tcPr>
          <w:p>
            <w:pPr>
              <w:spacing w:line="300" w:lineRule="exact"/>
              <w:jc w:val="center"/>
              <w:rPr>
                <w:rFonts w:hint="eastAsia" w:ascii="宋体" w:hAnsi="宋体"/>
                <w:szCs w:val="21"/>
              </w:rPr>
            </w:pPr>
          </w:p>
        </w:tc>
        <w:tc>
          <w:tcPr>
            <w:tcW w:w="1724" w:type="dxa"/>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trPr>
        <w:tc>
          <w:tcPr>
            <w:tcW w:w="8680" w:type="dxa"/>
            <w:gridSpan w:val="15"/>
            <w:vAlign w:val="center"/>
          </w:tcPr>
          <w:p>
            <w:pPr>
              <w:spacing w:line="300" w:lineRule="exact"/>
              <w:rPr>
                <w:rFonts w:hint="eastAsia" w:ascii="宋体" w:hAnsi="宋体"/>
                <w:szCs w:val="21"/>
              </w:rPr>
            </w:pPr>
            <w:r>
              <w:rPr>
                <w:rFonts w:hint="eastAsia" w:ascii="宋体" w:hAnsi="宋体"/>
                <w:b/>
                <w:bCs/>
                <w:szCs w:val="21"/>
              </w:rPr>
              <w:t>二、</w:t>
            </w:r>
            <w:r>
              <w:rPr>
                <w:rFonts w:hint="eastAsia" w:ascii="宋体" w:hAnsi="宋体"/>
                <w:b/>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一级指标</w:t>
            </w:r>
          </w:p>
        </w:tc>
        <w:tc>
          <w:tcPr>
            <w:tcW w:w="916" w:type="dxa"/>
            <w:gridSpan w:val="2"/>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分值</w:t>
            </w: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二级指标</w:t>
            </w:r>
          </w:p>
        </w:tc>
        <w:tc>
          <w:tcPr>
            <w:tcW w:w="75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分值</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三级指标</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分值</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决策</w:t>
            </w:r>
          </w:p>
        </w:tc>
        <w:tc>
          <w:tcPr>
            <w:tcW w:w="916" w:type="dxa"/>
            <w:gridSpan w:val="2"/>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40</w:t>
            </w:r>
          </w:p>
        </w:tc>
        <w:tc>
          <w:tcPr>
            <w:tcW w:w="1272" w:type="dxa"/>
            <w:gridSpan w:val="3"/>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项目立项</w:t>
            </w:r>
          </w:p>
        </w:tc>
        <w:tc>
          <w:tcPr>
            <w:tcW w:w="759"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立项依据充分性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272" w:type="dxa"/>
            <w:gridSpan w:val="3"/>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759"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立项程序规范性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272" w:type="dxa"/>
            <w:gridSpan w:val="3"/>
            <w:vMerge w:val="restart"/>
            <w:tcBorders>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绩效目标</w:t>
            </w:r>
          </w:p>
        </w:tc>
        <w:tc>
          <w:tcPr>
            <w:tcW w:w="759" w:type="dxa"/>
            <w:vMerge w:val="restart"/>
            <w:tcBorders>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绩效目标合理性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272" w:type="dxa"/>
            <w:gridSpan w:val="3"/>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759"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绩效指标明确性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资金投入</w:t>
            </w:r>
          </w:p>
        </w:tc>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预算编制科学性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资金分配合理性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过程</w:t>
            </w:r>
          </w:p>
        </w:tc>
        <w:tc>
          <w:tcPr>
            <w:tcW w:w="916"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272"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szCs w:val="21"/>
              </w:rPr>
            </w:pPr>
            <w:r>
              <w:rPr>
                <w:rFonts w:hint="eastAsia" w:ascii="宋体" w:hAnsi="宋体"/>
                <w:szCs w:val="21"/>
              </w:rPr>
              <w:t>资金管理</w:t>
            </w:r>
          </w:p>
        </w:tc>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资金到位率</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预算执行率</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szCs w:val="21"/>
              </w:rPr>
            </w:pPr>
            <w:r>
              <w:rPr>
                <w:rFonts w:hint="eastAsia" w:ascii="宋体" w:hAnsi="宋体"/>
                <w:szCs w:val="21"/>
              </w:rPr>
              <w:t>资金管理</w:t>
            </w:r>
          </w:p>
        </w:tc>
        <w:tc>
          <w:tcPr>
            <w:tcW w:w="75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8</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资金使用合规性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8</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vMerge w:val="restart"/>
            <w:tcBorders>
              <w:top w:val="single" w:color="000000" w:sz="4" w:space="0"/>
              <w:left w:val="single" w:color="000000" w:sz="4" w:space="0"/>
              <w:right w:val="single" w:color="000000" w:sz="4" w:space="0"/>
            </w:tcBorders>
            <w:vAlign w:val="center"/>
          </w:tcPr>
          <w:p>
            <w:pPr>
              <w:spacing w:line="0" w:lineRule="atLeast"/>
              <w:jc w:val="center"/>
              <w:rPr>
                <w:rFonts w:hint="eastAsia" w:ascii="宋体" w:hAnsi="宋体"/>
                <w:szCs w:val="21"/>
              </w:rPr>
            </w:pPr>
            <w:r>
              <w:rPr>
                <w:rFonts w:hint="eastAsia" w:ascii="宋体" w:hAnsi="宋体"/>
                <w:szCs w:val="21"/>
              </w:rPr>
              <w:t>组织实施　</w:t>
            </w:r>
          </w:p>
        </w:tc>
        <w:tc>
          <w:tcPr>
            <w:tcW w:w="759"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8</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管理制度健全性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4</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759"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宋体"/>
                <w:kern w:val="0"/>
                <w:szCs w:val="21"/>
              </w:rPr>
            </w:pPr>
            <w:r>
              <w:rPr>
                <w:rFonts w:hint="eastAsia" w:ascii="宋体" w:hAnsi="宋体" w:cs="宋体"/>
                <w:kern w:val="0"/>
                <w:szCs w:val="21"/>
              </w:rPr>
              <w:t>制度执行有效性</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4</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产出</w:t>
            </w:r>
          </w:p>
        </w:tc>
        <w:tc>
          <w:tcPr>
            <w:tcW w:w="91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60</w:t>
            </w: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产出数量</w:t>
            </w:r>
          </w:p>
        </w:tc>
        <w:tc>
          <w:tcPr>
            <w:tcW w:w="75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844"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完成年初任务数</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产出质量</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6</w:t>
            </w:r>
          </w:p>
        </w:tc>
        <w:tc>
          <w:tcPr>
            <w:tcW w:w="1844" w:type="dxa"/>
            <w:gridSpan w:val="3"/>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服务达标</w:t>
            </w:r>
          </w:p>
        </w:tc>
        <w:tc>
          <w:tcPr>
            <w:tcW w:w="781"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产出时效</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6</w:t>
            </w:r>
          </w:p>
        </w:tc>
        <w:tc>
          <w:tcPr>
            <w:tcW w:w="1844" w:type="dxa"/>
            <w:gridSpan w:val="3"/>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工作开展及时</w:t>
            </w:r>
          </w:p>
        </w:tc>
        <w:tc>
          <w:tcPr>
            <w:tcW w:w="781" w:type="dxa"/>
            <w:gridSpan w:val="2"/>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产出成本</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6</w:t>
            </w:r>
          </w:p>
        </w:tc>
        <w:tc>
          <w:tcPr>
            <w:tcW w:w="1844" w:type="dxa"/>
            <w:gridSpan w:val="3"/>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不超过年初预算</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restart"/>
            <w:tcBorders>
              <w:top w:val="single" w:color="000000" w:sz="4" w:space="0"/>
              <w:left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效益</w:t>
            </w: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经济效益</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6</w:t>
            </w:r>
          </w:p>
        </w:tc>
        <w:tc>
          <w:tcPr>
            <w:tcW w:w="1844" w:type="dxa"/>
            <w:gridSpan w:val="3"/>
            <w:tcBorders>
              <w:top w:val="single" w:color="auto" w:sz="4" w:space="0"/>
              <w:left w:val="single" w:color="000000" w:sz="4" w:space="0"/>
              <w:bottom w:val="single" w:color="auto" w:sz="4" w:space="0"/>
              <w:right w:val="single" w:color="000000" w:sz="4" w:space="0"/>
            </w:tcBorders>
            <w:vAlign w:val="center"/>
          </w:tcPr>
          <w:p>
            <w:pPr>
              <w:autoSpaceDN w:val="0"/>
              <w:spacing w:line="300" w:lineRule="exact"/>
              <w:textAlignment w:val="center"/>
              <w:rPr>
                <w:rFonts w:hint="eastAsia" w:ascii="宋体" w:hAnsi="宋体"/>
                <w:szCs w:val="21"/>
              </w:rPr>
            </w:pPr>
            <w:r>
              <w:rPr>
                <w:rFonts w:hint="eastAsia" w:ascii="宋体" w:hAnsi="宋体"/>
                <w:szCs w:val="21"/>
              </w:rPr>
              <w:t>经济效益好</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社会效益</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6</w:t>
            </w:r>
          </w:p>
        </w:tc>
        <w:tc>
          <w:tcPr>
            <w:tcW w:w="1844" w:type="dxa"/>
            <w:gridSpan w:val="3"/>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社会评价好</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环境效益</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6</w:t>
            </w:r>
          </w:p>
        </w:tc>
        <w:tc>
          <w:tcPr>
            <w:tcW w:w="1844" w:type="dxa"/>
            <w:gridSpan w:val="3"/>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无环境污染问题</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vMerge w:val="continue"/>
            <w:tcBorders>
              <w:left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可持续影响</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8</w:t>
            </w:r>
          </w:p>
        </w:tc>
        <w:tc>
          <w:tcPr>
            <w:tcW w:w="1844" w:type="dxa"/>
            <w:gridSpan w:val="3"/>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成果可复制</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8</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61" w:type="dxa"/>
            <w:gridSpan w:val="2"/>
            <w:vMerge w:val="continue"/>
            <w:tcBorders>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szCs w:val="21"/>
              </w:rPr>
            </w:pPr>
            <w:r>
              <w:rPr>
                <w:rFonts w:hint="eastAsia" w:ascii="宋体" w:hAnsi="宋体"/>
                <w:szCs w:val="21"/>
              </w:rPr>
              <w:t>满意度</w:t>
            </w:r>
          </w:p>
        </w:tc>
        <w:tc>
          <w:tcPr>
            <w:tcW w:w="75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szCs w:val="21"/>
              </w:rPr>
            </w:pPr>
            <w:r>
              <w:rPr>
                <w:rFonts w:hint="eastAsia" w:ascii="宋体" w:hAnsi="宋体"/>
                <w:szCs w:val="21"/>
              </w:rPr>
              <w:t>10</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szCs w:val="21"/>
              </w:rPr>
            </w:pPr>
            <w:r>
              <w:rPr>
                <w:rFonts w:hint="eastAsia" w:ascii="宋体" w:hAnsi="宋体"/>
                <w:szCs w:val="21"/>
              </w:rPr>
              <w:t>社会公众或服务对象满意度</w:t>
            </w: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10</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szCs w:val="21"/>
              </w:rPr>
            </w:pPr>
            <w:r>
              <w:rPr>
                <w:rFonts w:hint="eastAsia" w:ascii="宋体" w:hAnsi="宋体"/>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36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总分</w:t>
            </w:r>
          </w:p>
        </w:tc>
        <w:tc>
          <w:tcPr>
            <w:tcW w:w="91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100</w:t>
            </w:r>
          </w:p>
        </w:tc>
        <w:tc>
          <w:tcPr>
            <w:tcW w:w="127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p>
        </w:tc>
        <w:tc>
          <w:tcPr>
            <w:tcW w:w="75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100</w:t>
            </w:r>
          </w:p>
        </w:tc>
        <w:tc>
          <w:tcPr>
            <w:tcW w:w="184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p>
        </w:tc>
        <w:tc>
          <w:tcPr>
            <w:tcW w:w="78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100</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szCs w:val="21"/>
              </w:rPr>
            </w:pPr>
            <w:r>
              <w:rPr>
                <w:rFonts w:hint="eastAsia" w:ascii="宋体" w:hAnsi="宋体"/>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344" w:type="dxa"/>
            <w:vMerge w:val="restart"/>
            <w:vAlign w:val="center"/>
          </w:tcPr>
          <w:p>
            <w:pPr>
              <w:spacing w:line="300" w:lineRule="exact"/>
              <w:jc w:val="center"/>
              <w:rPr>
                <w:rFonts w:hint="eastAsia" w:ascii="宋体" w:hAnsi="宋体"/>
                <w:szCs w:val="21"/>
              </w:rPr>
            </w:pPr>
            <w:r>
              <w:rPr>
                <w:rFonts w:hint="eastAsia" w:ascii="宋体" w:hAnsi="宋体"/>
                <w:szCs w:val="21"/>
              </w:rPr>
              <w:t>评价等次</w:t>
            </w:r>
          </w:p>
        </w:tc>
        <w:tc>
          <w:tcPr>
            <w:tcW w:w="7336" w:type="dxa"/>
            <w:gridSpan w:val="14"/>
            <w:vAlign w:val="center"/>
          </w:tcPr>
          <w:p>
            <w:pPr>
              <w:spacing w:line="300" w:lineRule="exact"/>
              <w:jc w:val="center"/>
              <w:rPr>
                <w:rFonts w:hint="eastAsia" w:ascii="宋体" w:hAnsi="宋体"/>
                <w:szCs w:val="21"/>
              </w:rPr>
            </w:pPr>
            <w:r>
              <w:rPr>
                <w:rFonts w:hint="eastAsia" w:ascii="宋体" w:hAnsi="宋体" w:cs="宋体"/>
                <w:kern w:val="0"/>
                <w:szCs w:val="21"/>
              </w:rPr>
              <w:t>优□        良□       中 □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4" w:type="dxa"/>
            <w:vMerge w:val="continue"/>
            <w:vAlign w:val="center"/>
          </w:tcPr>
          <w:p>
            <w:pPr>
              <w:spacing w:line="300" w:lineRule="exact"/>
              <w:jc w:val="center"/>
              <w:rPr>
                <w:rFonts w:hint="eastAsia" w:ascii="宋体" w:hAnsi="宋体"/>
                <w:szCs w:val="21"/>
              </w:rPr>
            </w:pPr>
          </w:p>
        </w:tc>
        <w:tc>
          <w:tcPr>
            <w:tcW w:w="7336" w:type="dxa"/>
            <w:gridSpan w:val="14"/>
          </w:tcPr>
          <w:p>
            <w:pPr>
              <w:spacing w:line="260" w:lineRule="exact"/>
              <w:rPr>
                <w:rFonts w:hint="eastAsia" w:ascii="宋体" w:hAnsi="宋体" w:cs="宋体"/>
                <w:kern w:val="0"/>
                <w:szCs w:val="21"/>
              </w:rPr>
            </w:pPr>
            <w:r>
              <w:rPr>
                <w:rFonts w:hint="eastAsia" w:ascii="宋体" w:hAnsi="宋体" w:cs="宋体"/>
                <w:kern w:val="0"/>
                <w:szCs w:val="21"/>
              </w:rPr>
              <w:t>100-90（含）分为优、90-80（含）分为良、80-60（含）分为中、60分以下为差</w:t>
            </w:r>
          </w:p>
        </w:tc>
      </w:tr>
    </w:tbl>
    <w:p>
      <w:pPr>
        <w:rPr>
          <w:rFonts w:hint="eastAsia" w:eastAsia="楷体_GB2312"/>
          <w:sz w:val="32"/>
          <w:szCs w:val="32"/>
        </w:rPr>
      </w:pPr>
      <w:r>
        <w:rPr>
          <w:rFonts w:hint="eastAsia" w:ascii="仿宋" w:hAnsi="仿宋" w:eastAsia="仿宋" w:cs="仿宋"/>
          <w:spacing w:val="-11"/>
        </w:rPr>
        <w:t>注：指标可参考财政部《项目支出绩效评价管理办法》中附件2：《项目支出绩效评价指标体系框架》设置。</w:t>
      </w:r>
    </w:p>
    <w:sectPr>
      <w:headerReference r:id="rId3" w:type="default"/>
      <w:footerReference r:id="rId4" w:type="default"/>
      <w:footerReference r:id="rId5" w:type="even"/>
      <w:pgSz w:w="11906" w:h="16838"/>
      <w:pgMar w:top="2098" w:right="1531" w:bottom="1985"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ind w:left="420" w:leftChars="200" w:right="420" w:rightChars="200"/>
      <w:rPr>
        <w:rStyle w:val="24"/>
        <w:rFonts w:ascii="宋体" w:hAnsi="宋体"/>
        <w:sz w:val="28"/>
        <w:szCs w:val="28"/>
      </w:rPr>
    </w:pPr>
    <w:r>
      <w:rPr>
        <w:rFonts w:ascii="宋体" w:hAnsi="宋体"/>
        <w:sz w:val="28"/>
        <w:szCs w:val="28"/>
      </w:rPr>
      <w:fldChar w:fldCharType="begin"/>
    </w:r>
    <w:r>
      <w:rPr>
        <w:rStyle w:val="24"/>
        <w:rFonts w:ascii="宋体" w:hAnsi="宋体"/>
        <w:sz w:val="28"/>
        <w:szCs w:val="28"/>
      </w:rPr>
      <w:instrText xml:space="preserve">PAGE  </w:instrText>
    </w:r>
    <w:r>
      <w:rPr>
        <w:rFonts w:ascii="宋体" w:hAnsi="宋体"/>
        <w:sz w:val="28"/>
        <w:szCs w:val="28"/>
      </w:rPr>
      <w:fldChar w:fldCharType="separate"/>
    </w:r>
    <w:r>
      <w:rPr>
        <w:rStyle w:val="24"/>
        <w:rFonts w:ascii="宋体" w:hAnsi="宋体"/>
        <w:sz w:val="28"/>
        <w:szCs w:val="28"/>
      </w:rPr>
      <w:t>- 8 -</w:t>
    </w:r>
    <w:r>
      <w:rPr>
        <w:rFonts w:ascii="宋体" w:hAnsi="宋体"/>
        <w:sz w:val="28"/>
        <w:szCs w:val="28"/>
      </w:rPr>
      <w:fldChar w:fldCharType="end"/>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4"/>
      </w:rPr>
    </w:pPr>
    <w:r>
      <w:fldChar w:fldCharType="begin"/>
    </w:r>
    <w:r>
      <w:rPr>
        <w:rStyle w:val="24"/>
      </w:rPr>
      <w:instrText xml:space="preserve">PAGE  </w:instrText>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B0278F"/>
    <w:multiLevelType w:val="singleLevel"/>
    <w:tmpl w:val="30B0278F"/>
    <w:lvl w:ilvl="0" w:tentative="0">
      <w:start w:val="1"/>
      <w:numFmt w:val="chineseCounting"/>
      <w:suff w:val="nothing"/>
      <w:lvlText w:val="（%1）"/>
      <w:lvlJc w:val="left"/>
      <w:rPr>
        <w:rFonts w:hint="eastAsia"/>
      </w:rPr>
    </w:lvl>
  </w:abstractNum>
  <w:abstractNum w:abstractNumId="1">
    <w:nsid w:val="7B2754A1"/>
    <w:multiLevelType w:val="multilevel"/>
    <w:tmpl w:val="7B2754A1"/>
    <w:lvl w:ilvl="0" w:tentative="0">
      <w:start w:val="1"/>
      <w:numFmt w:val="chineseCountingThousand"/>
      <w:pStyle w:val="37"/>
      <w:lvlText w:val="第%1部分 "/>
      <w:lvlJc w:val="center"/>
      <w:pPr>
        <w:tabs>
          <w:tab w:val="left" w:pos="1276"/>
        </w:tabs>
        <w:ind w:left="1276" w:firstLine="0"/>
      </w:pPr>
    </w:lvl>
    <w:lvl w:ilvl="1" w:tentative="0">
      <w:start w:val="1"/>
      <w:numFmt w:val="none"/>
      <w:pStyle w:val="35"/>
      <w:suff w:val="nothing"/>
      <w:lvlText w:val=""/>
      <w:lvlJc w:val="left"/>
      <w:pPr>
        <w:ind w:left="1276" w:firstLine="0"/>
      </w:pPr>
      <w:rPr>
        <w:sz w:val="32"/>
      </w:rPr>
    </w:lvl>
    <w:lvl w:ilvl="2" w:tentative="0">
      <w:start w:val="1"/>
      <w:numFmt w:val="none"/>
      <w:pStyle w:val="28"/>
      <w:suff w:val="nothing"/>
      <w:lvlText w:val="1. "/>
      <w:lvlJc w:val="left"/>
      <w:pPr>
        <w:ind w:left="1276" w:firstLine="0"/>
      </w:pPr>
    </w:lvl>
    <w:lvl w:ilvl="3" w:tentative="0">
      <w:start w:val="1"/>
      <w:numFmt w:val="none"/>
      <w:pStyle w:val="36"/>
      <w:suff w:val="nothing"/>
      <w:lvlText w:val=""/>
      <w:lvlJc w:val="left"/>
      <w:pPr>
        <w:ind w:left="1276" w:firstLine="0"/>
      </w:pPr>
    </w:lvl>
    <w:lvl w:ilvl="4" w:tentative="0">
      <w:start w:val="1"/>
      <w:numFmt w:val="none"/>
      <w:pStyle w:val="6"/>
      <w:suff w:val="nothing"/>
      <w:lvlText w:val=""/>
      <w:lvlJc w:val="left"/>
      <w:pPr>
        <w:ind w:left="1276" w:firstLine="0"/>
      </w:pPr>
    </w:lvl>
    <w:lvl w:ilvl="5" w:tentative="0">
      <w:start w:val="1"/>
      <w:numFmt w:val="none"/>
      <w:pStyle w:val="7"/>
      <w:suff w:val="nothing"/>
      <w:lvlText w:val=""/>
      <w:lvlJc w:val="left"/>
      <w:pPr>
        <w:ind w:left="1276" w:firstLine="0"/>
      </w:pPr>
    </w:lvl>
    <w:lvl w:ilvl="6" w:tentative="0">
      <w:start w:val="1"/>
      <w:numFmt w:val="none"/>
      <w:pStyle w:val="8"/>
      <w:suff w:val="nothing"/>
      <w:lvlText w:val=""/>
      <w:lvlJc w:val="left"/>
      <w:pPr>
        <w:ind w:left="1276" w:firstLine="0"/>
      </w:pPr>
    </w:lvl>
    <w:lvl w:ilvl="7" w:tentative="0">
      <w:start w:val="1"/>
      <w:numFmt w:val="none"/>
      <w:pStyle w:val="9"/>
      <w:suff w:val="nothing"/>
      <w:lvlText w:val=""/>
      <w:lvlJc w:val="left"/>
      <w:pPr>
        <w:ind w:left="1276" w:firstLine="0"/>
      </w:pPr>
    </w:lvl>
    <w:lvl w:ilvl="8" w:tentative="0">
      <w:start w:val="1"/>
      <w:numFmt w:val="none"/>
      <w:pStyle w:val="10"/>
      <w:suff w:val="nothing"/>
      <w:lvlText w:val=""/>
      <w:lvlJc w:val="left"/>
      <w:pPr>
        <w:ind w:left="1276"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F66"/>
    <w:rsid w:val="00000D73"/>
    <w:rsid w:val="00001372"/>
    <w:rsid w:val="0000182F"/>
    <w:rsid w:val="0000289D"/>
    <w:rsid w:val="00002BE2"/>
    <w:rsid w:val="00004005"/>
    <w:rsid w:val="0000400C"/>
    <w:rsid w:val="00004275"/>
    <w:rsid w:val="00006BD6"/>
    <w:rsid w:val="0001084B"/>
    <w:rsid w:val="00012CDD"/>
    <w:rsid w:val="00012E61"/>
    <w:rsid w:val="00014C54"/>
    <w:rsid w:val="00021D85"/>
    <w:rsid w:val="000238F1"/>
    <w:rsid w:val="00023FF8"/>
    <w:rsid w:val="0002456D"/>
    <w:rsid w:val="00025CCF"/>
    <w:rsid w:val="000320D8"/>
    <w:rsid w:val="000345DC"/>
    <w:rsid w:val="0003485E"/>
    <w:rsid w:val="00034D80"/>
    <w:rsid w:val="000356C9"/>
    <w:rsid w:val="000367DC"/>
    <w:rsid w:val="00046D30"/>
    <w:rsid w:val="00046DB1"/>
    <w:rsid w:val="0005069C"/>
    <w:rsid w:val="00052475"/>
    <w:rsid w:val="0005267D"/>
    <w:rsid w:val="00052D71"/>
    <w:rsid w:val="00052E75"/>
    <w:rsid w:val="00054047"/>
    <w:rsid w:val="00057E43"/>
    <w:rsid w:val="00060C40"/>
    <w:rsid w:val="00070DEA"/>
    <w:rsid w:val="0007313A"/>
    <w:rsid w:val="00077818"/>
    <w:rsid w:val="00080A54"/>
    <w:rsid w:val="00084162"/>
    <w:rsid w:val="0009013A"/>
    <w:rsid w:val="00094F18"/>
    <w:rsid w:val="00095168"/>
    <w:rsid w:val="000960FB"/>
    <w:rsid w:val="00097715"/>
    <w:rsid w:val="000A25EF"/>
    <w:rsid w:val="000A2A46"/>
    <w:rsid w:val="000A2D8B"/>
    <w:rsid w:val="000A3AEB"/>
    <w:rsid w:val="000A55EE"/>
    <w:rsid w:val="000A5DE9"/>
    <w:rsid w:val="000A6B6C"/>
    <w:rsid w:val="000A70E9"/>
    <w:rsid w:val="000B25FF"/>
    <w:rsid w:val="000B281F"/>
    <w:rsid w:val="000B6BEB"/>
    <w:rsid w:val="000B7231"/>
    <w:rsid w:val="000B799A"/>
    <w:rsid w:val="000C05BB"/>
    <w:rsid w:val="000C256D"/>
    <w:rsid w:val="000C2C65"/>
    <w:rsid w:val="000C46EF"/>
    <w:rsid w:val="000C5381"/>
    <w:rsid w:val="000C620F"/>
    <w:rsid w:val="000C6FA0"/>
    <w:rsid w:val="000C76A5"/>
    <w:rsid w:val="000D0308"/>
    <w:rsid w:val="000D2FE0"/>
    <w:rsid w:val="000D405A"/>
    <w:rsid w:val="000E093C"/>
    <w:rsid w:val="000F1625"/>
    <w:rsid w:val="000F2A28"/>
    <w:rsid w:val="000F6F9E"/>
    <w:rsid w:val="000F7094"/>
    <w:rsid w:val="00100433"/>
    <w:rsid w:val="001071CC"/>
    <w:rsid w:val="001169E6"/>
    <w:rsid w:val="00116C8A"/>
    <w:rsid w:val="0011767A"/>
    <w:rsid w:val="00120CCB"/>
    <w:rsid w:val="00120EEC"/>
    <w:rsid w:val="00121A48"/>
    <w:rsid w:val="0012681B"/>
    <w:rsid w:val="00134CE0"/>
    <w:rsid w:val="00136EB5"/>
    <w:rsid w:val="00137517"/>
    <w:rsid w:val="00143236"/>
    <w:rsid w:val="00147892"/>
    <w:rsid w:val="00150B68"/>
    <w:rsid w:val="00150C5B"/>
    <w:rsid w:val="00150D46"/>
    <w:rsid w:val="00151D35"/>
    <w:rsid w:val="00151F71"/>
    <w:rsid w:val="0015613A"/>
    <w:rsid w:val="00160689"/>
    <w:rsid w:val="0016180C"/>
    <w:rsid w:val="001633EE"/>
    <w:rsid w:val="00164777"/>
    <w:rsid w:val="00165651"/>
    <w:rsid w:val="00166523"/>
    <w:rsid w:val="00171174"/>
    <w:rsid w:val="00174FA4"/>
    <w:rsid w:val="00190E18"/>
    <w:rsid w:val="00194AC1"/>
    <w:rsid w:val="00195909"/>
    <w:rsid w:val="001A614E"/>
    <w:rsid w:val="001B3ADA"/>
    <w:rsid w:val="001B52E3"/>
    <w:rsid w:val="001B7029"/>
    <w:rsid w:val="001C078A"/>
    <w:rsid w:val="001C1F2F"/>
    <w:rsid w:val="001C3E60"/>
    <w:rsid w:val="001C7188"/>
    <w:rsid w:val="001C7E8F"/>
    <w:rsid w:val="001D562A"/>
    <w:rsid w:val="001E299F"/>
    <w:rsid w:val="001E3186"/>
    <w:rsid w:val="001E343E"/>
    <w:rsid w:val="001E688E"/>
    <w:rsid w:val="001F1C7B"/>
    <w:rsid w:val="001F2F91"/>
    <w:rsid w:val="001F6D4A"/>
    <w:rsid w:val="00200184"/>
    <w:rsid w:val="00207F15"/>
    <w:rsid w:val="00212D74"/>
    <w:rsid w:val="00221260"/>
    <w:rsid w:val="00222903"/>
    <w:rsid w:val="00223D8C"/>
    <w:rsid w:val="00224274"/>
    <w:rsid w:val="00230962"/>
    <w:rsid w:val="00230AB7"/>
    <w:rsid w:val="00234CB0"/>
    <w:rsid w:val="00237599"/>
    <w:rsid w:val="00241757"/>
    <w:rsid w:val="00242A81"/>
    <w:rsid w:val="002447EB"/>
    <w:rsid w:val="002456A5"/>
    <w:rsid w:val="00247ED4"/>
    <w:rsid w:val="0025227D"/>
    <w:rsid w:val="0025345B"/>
    <w:rsid w:val="002550C7"/>
    <w:rsid w:val="002575A7"/>
    <w:rsid w:val="002612C7"/>
    <w:rsid w:val="002617AF"/>
    <w:rsid w:val="002638A2"/>
    <w:rsid w:val="0026654F"/>
    <w:rsid w:val="00266FD7"/>
    <w:rsid w:val="00267E99"/>
    <w:rsid w:val="00270B83"/>
    <w:rsid w:val="002714DC"/>
    <w:rsid w:val="002718AD"/>
    <w:rsid w:val="00273C5D"/>
    <w:rsid w:val="002779A3"/>
    <w:rsid w:val="00281570"/>
    <w:rsid w:val="00282A7C"/>
    <w:rsid w:val="00284810"/>
    <w:rsid w:val="0028699A"/>
    <w:rsid w:val="00291A4B"/>
    <w:rsid w:val="00292685"/>
    <w:rsid w:val="00293FDD"/>
    <w:rsid w:val="002A1385"/>
    <w:rsid w:val="002B5CB2"/>
    <w:rsid w:val="002B5EB5"/>
    <w:rsid w:val="002C332C"/>
    <w:rsid w:val="002C5CD9"/>
    <w:rsid w:val="002C733E"/>
    <w:rsid w:val="002C7C37"/>
    <w:rsid w:val="002D194F"/>
    <w:rsid w:val="002D4BB2"/>
    <w:rsid w:val="002D5A1E"/>
    <w:rsid w:val="002E4174"/>
    <w:rsid w:val="002E5778"/>
    <w:rsid w:val="002F3948"/>
    <w:rsid w:val="002F5F45"/>
    <w:rsid w:val="002F625D"/>
    <w:rsid w:val="002F720A"/>
    <w:rsid w:val="002F7347"/>
    <w:rsid w:val="00300E88"/>
    <w:rsid w:val="0030196F"/>
    <w:rsid w:val="00305111"/>
    <w:rsid w:val="00312FD8"/>
    <w:rsid w:val="00314D08"/>
    <w:rsid w:val="00315A2B"/>
    <w:rsid w:val="0032079F"/>
    <w:rsid w:val="00325AFB"/>
    <w:rsid w:val="00326B9F"/>
    <w:rsid w:val="00335E56"/>
    <w:rsid w:val="003366BD"/>
    <w:rsid w:val="00342E50"/>
    <w:rsid w:val="00342FA8"/>
    <w:rsid w:val="00342FD1"/>
    <w:rsid w:val="00343513"/>
    <w:rsid w:val="00344743"/>
    <w:rsid w:val="00346CCE"/>
    <w:rsid w:val="00347E05"/>
    <w:rsid w:val="003518D3"/>
    <w:rsid w:val="00352E2A"/>
    <w:rsid w:val="003535B2"/>
    <w:rsid w:val="00353864"/>
    <w:rsid w:val="0035514A"/>
    <w:rsid w:val="00355378"/>
    <w:rsid w:val="00357DD5"/>
    <w:rsid w:val="00362070"/>
    <w:rsid w:val="00366A62"/>
    <w:rsid w:val="00367131"/>
    <w:rsid w:val="00373D98"/>
    <w:rsid w:val="00375203"/>
    <w:rsid w:val="0037523C"/>
    <w:rsid w:val="003767B8"/>
    <w:rsid w:val="00383567"/>
    <w:rsid w:val="00384D50"/>
    <w:rsid w:val="00387540"/>
    <w:rsid w:val="00387B68"/>
    <w:rsid w:val="00387C02"/>
    <w:rsid w:val="00392C37"/>
    <w:rsid w:val="00393A74"/>
    <w:rsid w:val="00393BE5"/>
    <w:rsid w:val="003958DB"/>
    <w:rsid w:val="00395D93"/>
    <w:rsid w:val="00397A34"/>
    <w:rsid w:val="00397B10"/>
    <w:rsid w:val="003A1CCE"/>
    <w:rsid w:val="003A213A"/>
    <w:rsid w:val="003A2420"/>
    <w:rsid w:val="003A3431"/>
    <w:rsid w:val="003A3F13"/>
    <w:rsid w:val="003A5C4C"/>
    <w:rsid w:val="003A6849"/>
    <w:rsid w:val="003B1B71"/>
    <w:rsid w:val="003B1E59"/>
    <w:rsid w:val="003C311B"/>
    <w:rsid w:val="003C3DB0"/>
    <w:rsid w:val="003C5DD4"/>
    <w:rsid w:val="003C6A73"/>
    <w:rsid w:val="003C7F02"/>
    <w:rsid w:val="003D133D"/>
    <w:rsid w:val="003D31BE"/>
    <w:rsid w:val="003D5941"/>
    <w:rsid w:val="003E10EB"/>
    <w:rsid w:val="003E16E1"/>
    <w:rsid w:val="003E4099"/>
    <w:rsid w:val="003F0157"/>
    <w:rsid w:val="003F6A31"/>
    <w:rsid w:val="003F6FBB"/>
    <w:rsid w:val="0040040D"/>
    <w:rsid w:val="00403E15"/>
    <w:rsid w:val="00412917"/>
    <w:rsid w:val="00413FAC"/>
    <w:rsid w:val="00414868"/>
    <w:rsid w:val="004152AA"/>
    <w:rsid w:val="00415900"/>
    <w:rsid w:val="004174FC"/>
    <w:rsid w:val="004211D4"/>
    <w:rsid w:val="00424832"/>
    <w:rsid w:val="00426626"/>
    <w:rsid w:val="00426AFF"/>
    <w:rsid w:val="00431C3E"/>
    <w:rsid w:val="00432867"/>
    <w:rsid w:val="00435A65"/>
    <w:rsid w:val="0043680D"/>
    <w:rsid w:val="004431DA"/>
    <w:rsid w:val="0044382F"/>
    <w:rsid w:val="00445F59"/>
    <w:rsid w:val="004460FC"/>
    <w:rsid w:val="00447608"/>
    <w:rsid w:val="00447C93"/>
    <w:rsid w:val="00452132"/>
    <w:rsid w:val="00452AAF"/>
    <w:rsid w:val="00455417"/>
    <w:rsid w:val="00456BD0"/>
    <w:rsid w:val="00462C51"/>
    <w:rsid w:val="00467479"/>
    <w:rsid w:val="00472413"/>
    <w:rsid w:val="00472F21"/>
    <w:rsid w:val="00475027"/>
    <w:rsid w:val="00483DBB"/>
    <w:rsid w:val="00485981"/>
    <w:rsid w:val="00486B53"/>
    <w:rsid w:val="00487076"/>
    <w:rsid w:val="00492CF5"/>
    <w:rsid w:val="0049388E"/>
    <w:rsid w:val="00493D5D"/>
    <w:rsid w:val="004940DF"/>
    <w:rsid w:val="004959AC"/>
    <w:rsid w:val="004A2123"/>
    <w:rsid w:val="004A4867"/>
    <w:rsid w:val="004A5D7A"/>
    <w:rsid w:val="004B1C6F"/>
    <w:rsid w:val="004B3F3E"/>
    <w:rsid w:val="004B4581"/>
    <w:rsid w:val="004B6C32"/>
    <w:rsid w:val="004B7B1D"/>
    <w:rsid w:val="004C0516"/>
    <w:rsid w:val="004C6547"/>
    <w:rsid w:val="004C78E9"/>
    <w:rsid w:val="004C7B55"/>
    <w:rsid w:val="004D0148"/>
    <w:rsid w:val="004D35D9"/>
    <w:rsid w:val="004D3F03"/>
    <w:rsid w:val="004D7E5A"/>
    <w:rsid w:val="004E16FB"/>
    <w:rsid w:val="004E1BD3"/>
    <w:rsid w:val="004E5F91"/>
    <w:rsid w:val="004E6637"/>
    <w:rsid w:val="004F02E5"/>
    <w:rsid w:val="004F05B8"/>
    <w:rsid w:val="004F472F"/>
    <w:rsid w:val="004F7BAA"/>
    <w:rsid w:val="004F7C5B"/>
    <w:rsid w:val="005003EC"/>
    <w:rsid w:val="00501FF8"/>
    <w:rsid w:val="005024F0"/>
    <w:rsid w:val="00504CBE"/>
    <w:rsid w:val="00505567"/>
    <w:rsid w:val="005159F1"/>
    <w:rsid w:val="00515FB4"/>
    <w:rsid w:val="00517A38"/>
    <w:rsid w:val="00525EC0"/>
    <w:rsid w:val="0052739E"/>
    <w:rsid w:val="00527E7B"/>
    <w:rsid w:val="00535B99"/>
    <w:rsid w:val="00535DF3"/>
    <w:rsid w:val="00536CBC"/>
    <w:rsid w:val="00536E73"/>
    <w:rsid w:val="0053752B"/>
    <w:rsid w:val="00540D71"/>
    <w:rsid w:val="005432C9"/>
    <w:rsid w:val="00545A46"/>
    <w:rsid w:val="00545DD1"/>
    <w:rsid w:val="0055324B"/>
    <w:rsid w:val="00555501"/>
    <w:rsid w:val="00556328"/>
    <w:rsid w:val="00562057"/>
    <w:rsid w:val="00563D3B"/>
    <w:rsid w:val="00563FE0"/>
    <w:rsid w:val="00566727"/>
    <w:rsid w:val="00573166"/>
    <w:rsid w:val="005733AA"/>
    <w:rsid w:val="005741DB"/>
    <w:rsid w:val="00577417"/>
    <w:rsid w:val="00577634"/>
    <w:rsid w:val="00577A35"/>
    <w:rsid w:val="00580B27"/>
    <w:rsid w:val="005814FC"/>
    <w:rsid w:val="00582079"/>
    <w:rsid w:val="0059083A"/>
    <w:rsid w:val="005926C3"/>
    <w:rsid w:val="00593AED"/>
    <w:rsid w:val="00595BBA"/>
    <w:rsid w:val="00596A93"/>
    <w:rsid w:val="005A05CB"/>
    <w:rsid w:val="005A173C"/>
    <w:rsid w:val="005A1805"/>
    <w:rsid w:val="005A1823"/>
    <w:rsid w:val="005A320D"/>
    <w:rsid w:val="005A7900"/>
    <w:rsid w:val="005A7E23"/>
    <w:rsid w:val="005B061E"/>
    <w:rsid w:val="005B1CE5"/>
    <w:rsid w:val="005B6941"/>
    <w:rsid w:val="005C1A49"/>
    <w:rsid w:val="005C3517"/>
    <w:rsid w:val="005C5629"/>
    <w:rsid w:val="005D1A71"/>
    <w:rsid w:val="005E201E"/>
    <w:rsid w:val="005E27C3"/>
    <w:rsid w:val="005E6A8B"/>
    <w:rsid w:val="005F0319"/>
    <w:rsid w:val="005F2DE2"/>
    <w:rsid w:val="005F6496"/>
    <w:rsid w:val="00600303"/>
    <w:rsid w:val="006033B6"/>
    <w:rsid w:val="006111D2"/>
    <w:rsid w:val="00613BCC"/>
    <w:rsid w:val="00613E38"/>
    <w:rsid w:val="006155FE"/>
    <w:rsid w:val="00620CBA"/>
    <w:rsid w:val="00621A76"/>
    <w:rsid w:val="00623B96"/>
    <w:rsid w:val="0062540A"/>
    <w:rsid w:val="00626CBE"/>
    <w:rsid w:val="00630890"/>
    <w:rsid w:val="006313F6"/>
    <w:rsid w:val="006345B3"/>
    <w:rsid w:val="00634FA0"/>
    <w:rsid w:val="006364DA"/>
    <w:rsid w:val="0063652F"/>
    <w:rsid w:val="006369D7"/>
    <w:rsid w:val="00636FA5"/>
    <w:rsid w:val="00642E05"/>
    <w:rsid w:val="00643DD0"/>
    <w:rsid w:val="00647B3E"/>
    <w:rsid w:val="00647B88"/>
    <w:rsid w:val="00654E04"/>
    <w:rsid w:val="00661D4D"/>
    <w:rsid w:val="006648DE"/>
    <w:rsid w:val="00666E7F"/>
    <w:rsid w:val="006726C5"/>
    <w:rsid w:val="006741D1"/>
    <w:rsid w:val="006772B5"/>
    <w:rsid w:val="00683C25"/>
    <w:rsid w:val="006849C1"/>
    <w:rsid w:val="006874FA"/>
    <w:rsid w:val="006878E3"/>
    <w:rsid w:val="00695353"/>
    <w:rsid w:val="006A0048"/>
    <w:rsid w:val="006A13F5"/>
    <w:rsid w:val="006A427A"/>
    <w:rsid w:val="006A79A2"/>
    <w:rsid w:val="006A7C53"/>
    <w:rsid w:val="006B4988"/>
    <w:rsid w:val="006B4D47"/>
    <w:rsid w:val="006C56E5"/>
    <w:rsid w:val="006C768A"/>
    <w:rsid w:val="006D0268"/>
    <w:rsid w:val="006D07C0"/>
    <w:rsid w:val="006D1117"/>
    <w:rsid w:val="006D1B21"/>
    <w:rsid w:val="006D2378"/>
    <w:rsid w:val="006E1411"/>
    <w:rsid w:val="006E32DC"/>
    <w:rsid w:val="006E442D"/>
    <w:rsid w:val="006E6789"/>
    <w:rsid w:val="006E7B0D"/>
    <w:rsid w:val="006F141E"/>
    <w:rsid w:val="006F1770"/>
    <w:rsid w:val="006F205D"/>
    <w:rsid w:val="006F2C0B"/>
    <w:rsid w:val="006F71A5"/>
    <w:rsid w:val="00701D24"/>
    <w:rsid w:val="00705891"/>
    <w:rsid w:val="00710022"/>
    <w:rsid w:val="0071051D"/>
    <w:rsid w:val="00710910"/>
    <w:rsid w:val="00711177"/>
    <w:rsid w:val="007126EE"/>
    <w:rsid w:val="00715FFD"/>
    <w:rsid w:val="00716A50"/>
    <w:rsid w:val="00720E44"/>
    <w:rsid w:val="00725575"/>
    <w:rsid w:val="00726AE4"/>
    <w:rsid w:val="00727CE9"/>
    <w:rsid w:val="00727DCA"/>
    <w:rsid w:val="00731477"/>
    <w:rsid w:val="007354C0"/>
    <w:rsid w:val="00735984"/>
    <w:rsid w:val="007416D4"/>
    <w:rsid w:val="00741722"/>
    <w:rsid w:val="00743DF5"/>
    <w:rsid w:val="00745A39"/>
    <w:rsid w:val="00745F95"/>
    <w:rsid w:val="0074717D"/>
    <w:rsid w:val="00747E8F"/>
    <w:rsid w:val="00754297"/>
    <w:rsid w:val="0075596D"/>
    <w:rsid w:val="007643A7"/>
    <w:rsid w:val="007647C3"/>
    <w:rsid w:val="00765343"/>
    <w:rsid w:val="00765F2D"/>
    <w:rsid w:val="00766EC5"/>
    <w:rsid w:val="007758F6"/>
    <w:rsid w:val="0078051F"/>
    <w:rsid w:val="00781361"/>
    <w:rsid w:val="00783E95"/>
    <w:rsid w:val="00791BA0"/>
    <w:rsid w:val="007921C4"/>
    <w:rsid w:val="00792BFB"/>
    <w:rsid w:val="007941AD"/>
    <w:rsid w:val="00795887"/>
    <w:rsid w:val="007A0C52"/>
    <w:rsid w:val="007A12D8"/>
    <w:rsid w:val="007A137C"/>
    <w:rsid w:val="007A4D7A"/>
    <w:rsid w:val="007A5C3A"/>
    <w:rsid w:val="007A62C3"/>
    <w:rsid w:val="007B03ED"/>
    <w:rsid w:val="007B4110"/>
    <w:rsid w:val="007B5695"/>
    <w:rsid w:val="007B731B"/>
    <w:rsid w:val="007C4311"/>
    <w:rsid w:val="007C4608"/>
    <w:rsid w:val="007D0DA6"/>
    <w:rsid w:val="007D3E7D"/>
    <w:rsid w:val="007D71BA"/>
    <w:rsid w:val="007F03FE"/>
    <w:rsid w:val="007F0FF2"/>
    <w:rsid w:val="007F14B3"/>
    <w:rsid w:val="007F39EF"/>
    <w:rsid w:val="007F4215"/>
    <w:rsid w:val="007F4F7C"/>
    <w:rsid w:val="00802137"/>
    <w:rsid w:val="00802F0E"/>
    <w:rsid w:val="00803CA1"/>
    <w:rsid w:val="008070A1"/>
    <w:rsid w:val="00811768"/>
    <w:rsid w:val="008123BD"/>
    <w:rsid w:val="00812668"/>
    <w:rsid w:val="00813207"/>
    <w:rsid w:val="008139E3"/>
    <w:rsid w:val="00814A60"/>
    <w:rsid w:val="00814FFB"/>
    <w:rsid w:val="00815D05"/>
    <w:rsid w:val="00822027"/>
    <w:rsid w:val="00824FFF"/>
    <w:rsid w:val="008257FC"/>
    <w:rsid w:val="008329C8"/>
    <w:rsid w:val="008360F4"/>
    <w:rsid w:val="0083759C"/>
    <w:rsid w:val="00840137"/>
    <w:rsid w:val="00841BD3"/>
    <w:rsid w:val="00843026"/>
    <w:rsid w:val="0084393A"/>
    <w:rsid w:val="00843A51"/>
    <w:rsid w:val="00844722"/>
    <w:rsid w:val="00846B47"/>
    <w:rsid w:val="00846F66"/>
    <w:rsid w:val="00855BE1"/>
    <w:rsid w:val="008561C8"/>
    <w:rsid w:val="0087157B"/>
    <w:rsid w:val="008741C0"/>
    <w:rsid w:val="00875DB3"/>
    <w:rsid w:val="00882336"/>
    <w:rsid w:val="008844BC"/>
    <w:rsid w:val="008929F5"/>
    <w:rsid w:val="00894376"/>
    <w:rsid w:val="00894DA4"/>
    <w:rsid w:val="00897BCB"/>
    <w:rsid w:val="008A1DF4"/>
    <w:rsid w:val="008A23FA"/>
    <w:rsid w:val="008A3024"/>
    <w:rsid w:val="008A310D"/>
    <w:rsid w:val="008A72BF"/>
    <w:rsid w:val="008B02EA"/>
    <w:rsid w:val="008B1489"/>
    <w:rsid w:val="008B1764"/>
    <w:rsid w:val="008B2459"/>
    <w:rsid w:val="008B4DFF"/>
    <w:rsid w:val="008C0D63"/>
    <w:rsid w:val="008C4C2E"/>
    <w:rsid w:val="008C56E6"/>
    <w:rsid w:val="008D0191"/>
    <w:rsid w:val="008D176C"/>
    <w:rsid w:val="008D2CA5"/>
    <w:rsid w:val="008D3774"/>
    <w:rsid w:val="008D3B1E"/>
    <w:rsid w:val="008D51CE"/>
    <w:rsid w:val="008E00FC"/>
    <w:rsid w:val="008E2527"/>
    <w:rsid w:val="008F12B1"/>
    <w:rsid w:val="008F22BB"/>
    <w:rsid w:val="008F5806"/>
    <w:rsid w:val="009037E0"/>
    <w:rsid w:val="00904301"/>
    <w:rsid w:val="009065F5"/>
    <w:rsid w:val="00910B09"/>
    <w:rsid w:val="00916D41"/>
    <w:rsid w:val="009279E2"/>
    <w:rsid w:val="00927F49"/>
    <w:rsid w:val="0093071C"/>
    <w:rsid w:val="009348C4"/>
    <w:rsid w:val="00934980"/>
    <w:rsid w:val="00937828"/>
    <w:rsid w:val="009408B1"/>
    <w:rsid w:val="009408BB"/>
    <w:rsid w:val="009462A5"/>
    <w:rsid w:val="0095082B"/>
    <w:rsid w:val="00950D09"/>
    <w:rsid w:val="0095107E"/>
    <w:rsid w:val="00951484"/>
    <w:rsid w:val="00952536"/>
    <w:rsid w:val="009613B5"/>
    <w:rsid w:val="00964362"/>
    <w:rsid w:val="00964C05"/>
    <w:rsid w:val="00965004"/>
    <w:rsid w:val="009671B8"/>
    <w:rsid w:val="009703F6"/>
    <w:rsid w:val="00972004"/>
    <w:rsid w:val="009757B7"/>
    <w:rsid w:val="009827F7"/>
    <w:rsid w:val="00982F83"/>
    <w:rsid w:val="00990BB3"/>
    <w:rsid w:val="009928E8"/>
    <w:rsid w:val="00993EF8"/>
    <w:rsid w:val="00996F3F"/>
    <w:rsid w:val="00997ADC"/>
    <w:rsid w:val="009A2B65"/>
    <w:rsid w:val="009A3836"/>
    <w:rsid w:val="009A3B74"/>
    <w:rsid w:val="009B0715"/>
    <w:rsid w:val="009B462E"/>
    <w:rsid w:val="009C31ED"/>
    <w:rsid w:val="009C62A6"/>
    <w:rsid w:val="009D09F8"/>
    <w:rsid w:val="009D1443"/>
    <w:rsid w:val="009D18A2"/>
    <w:rsid w:val="009D1C84"/>
    <w:rsid w:val="009D1DC2"/>
    <w:rsid w:val="009E016F"/>
    <w:rsid w:val="009E7EBD"/>
    <w:rsid w:val="009F10C7"/>
    <w:rsid w:val="009F1C08"/>
    <w:rsid w:val="009F483B"/>
    <w:rsid w:val="009F5199"/>
    <w:rsid w:val="009F7A53"/>
    <w:rsid w:val="00A00FBB"/>
    <w:rsid w:val="00A017CF"/>
    <w:rsid w:val="00A020AF"/>
    <w:rsid w:val="00A02EBF"/>
    <w:rsid w:val="00A03F41"/>
    <w:rsid w:val="00A0560C"/>
    <w:rsid w:val="00A12711"/>
    <w:rsid w:val="00A1417E"/>
    <w:rsid w:val="00A14F4E"/>
    <w:rsid w:val="00A21D2A"/>
    <w:rsid w:val="00A22308"/>
    <w:rsid w:val="00A2412F"/>
    <w:rsid w:val="00A2646E"/>
    <w:rsid w:val="00A267DA"/>
    <w:rsid w:val="00A271FE"/>
    <w:rsid w:val="00A27597"/>
    <w:rsid w:val="00A31155"/>
    <w:rsid w:val="00A32E1D"/>
    <w:rsid w:val="00A429C4"/>
    <w:rsid w:val="00A569FD"/>
    <w:rsid w:val="00A57A0A"/>
    <w:rsid w:val="00A57B55"/>
    <w:rsid w:val="00A61A71"/>
    <w:rsid w:val="00A6401F"/>
    <w:rsid w:val="00A65738"/>
    <w:rsid w:val="00A675DA"/>
    <w:rsid w:val="00A67A24"/>
    <w:rsid w:val="00A67C36"/>
    <w:rsid w:val="00A70028"/>
    <w:rsid w:val="00A7128B"/>
    <w:rsid w:val="00A7313C"/>
    <w:rsid w:val="00A770B3"/>
    <w:rsid w:val="00A77E70"/>
    <w:rsid w:val="00A80E60"/>
    <w:rsid w:val="00A840BA"/>
    <w:rsid w:val="00A86276"/>
    <w:rsid w:val="00A90788"/>
    <w:rsid w:val="00A956FA"/>
    <w:rsid w:val="00A965BD"/>
    <w:rsid w:val="00A967BE"/>
    <w:rsid w:val="00AA36DD"/>
    <w:rsid w:val="00AA40C5"/>
    <w:rsid w:val="00AA4B94"/>
    <w:rsid w:val="00AA55B1"/>
    <w:rsid w:val="00AA6A66"/>
    <w:rsid w:val="00AB0479"/>
    <w:rsid w:val="00AB2FE0"/>
    <w:rsid w:val="00AB4111"/>
    <w:rsid w:val="00AB48FC"/>
    <w:rsid w:val="00AB56DB"/>
    <w:rsid w:val="00AB6F34"/>
    <w:rsid w:val="00AB7603"/>
    <w:rsid w:val="00AB7CAB"/>
    <w:rsid w:val="00AB7D9E"/>
    <w:rsid w:val="00AC2BA7"/>
    <w:rsid w:val="00AD39C8"/>
    <w:rsid w:val="00AD4635"/>
    <w:rsid w:val="00AD478B"/>
    <w:rsid w:val="00AD59D8"/>
    <w:rsid w:val="00AE793F"/>
    <w:rsid w:val="00AF0703"/>
    <w:rsid w:val="00AF3583"/>
    <w:rsid w:val="00AF49FF"/>
    <w:rsid w:val="00B005D1"/>
    <w:rsid w:val="00B00D17"/>
    <w:rsid w:val="00B04BE3"/>
    <w:rsid w:val="00B060E2"/>
    <w:rsid w:val="00B07376"/>
    <w:rsid w:val="00B108DF"/>
    <w:rsid w:val="00B11A90"/>
    <w:rsid w:val="00B13679"/>
    <w:rsid w:val="00B15538"/>
    <w:rsid w:val="00B15686"/>
    <w:rsid w:val="00B161FC"/>
    <w:rsid w:val="00B16F87"/>
    <w:rsid w:val="00B26278"/>
    <w:rsid w:val="00B26E04"/>
    <w:rsid w:val="00B33ABD"/>
    <w:rsid w:val="00B36DFA"/>
    <w:rsid w:val="00B36F65"/>
    <w:rsid w:val="00B376B8"/>
    <w:rsid w:val="00B4457A"/>
    <w:rsid w:val="00B46BEB"/>
    <w:rsid w:val="00B502F6"/>
    <w:rsid w:val="00B53367"/>
    <w:rsid w:val="00B53E1B"/>
    <w:rsid w:val="00B562C7"/>
    <w:rsid w:val="00B60FFF"/>
    <w:rsid w:val="00B61524"/>
    <w:rsid w:val="00B6525D"/>
    <w:rsid w:val="00B6637B"/>
    <w:rsid w:val="00B67E69"/>
    <w:rsid w:val="00B71749"/>
    <w:rsid w:val="00B71AF2"/>
    <w:rsid w:val="00B72C4C"/>
    <w:rsid w:val="00B81527"/>
    <w:rsid w:val="00B8248D"/>
    <w:rsid w:val="00B86327"/>
    <w:rsid w:val="00B8733E"/>
    <w:rsid w:val="00B90569"/>
    <w:rsid w:val="00B90744"/>
    <w:rsid w:val="00B90CE9"/>
    <w:rsid w:val="00BA65D5"/>
    <w:rsid w:val="00BA7F62"/>
    <w:rsid w:val="00BB1490"/>
    <w:rsid w:val="00BB20D4"/>
    <w:rsid w:val="00BB2B32"/>
    <w:rsid w:val="00BB323E"/>
    <w:rsid w:val="00BB3D1D"/>
    <w:rsid w:val="00BB4290"/>
    <w:rsid w:val="00BC076E"/>
    <w:rsid w:val="00BC1844"/>
    <w:rsid w:val="00BC583D"/>
    <w:rsid w:val="00BD6F14"/>
    <w:rsid w:val="00BD7113"/>
    <w:rsid w:val="00BE1EFF"/>
    <w:rsid w:val="00BF1275"/>
    <w:rsid w:val="00BF16E1"/>
    <w:rsid w:val="00BF2870"/>
    <w:rsid w:val="00BF2B7F"/>
    <w:rsid w:val="00C03CAC"/>
    <w:rsid w:val="00C042AA"/>
    <w:rsid w:val="00C10953"/>
    <w:rsid w:val="00C10B62"/>
    <w:rsid w:val="00C13021"/>
    <w:rsid w:val="00C14301"/>
    <w:rsid w:val="00C14727"/>
    <w:rsid w:val="00C15FF0"/>
    <w:rsid w:val="00C17CE3"/>
    <w:rsid w:val="00C17DA4"/>
    <w:rsid w:val="00C22509"/>
    <w:rsid w:val="00C2299D"/>
    <w:rsid w:val="00C2337C"/>
    <w:rsid w:val="00C23AE3"/>
    <w:rsid w:val="00C256BC"/>
    <w:rsid w:val="00C31D3C"/>
    <w:rsid w:val="00C37A00"/>
    <w:rsid w:val="00C42D06"/>
    <w:rsid w:val="00C454E3"/>
    <w:rsid w:val="00C515EB"/>
    <w:rsid w:val="00C51F4F"/>
    <w:rsid w:val="00C55E7C"/>
    <w:rsid w:val="00C57799"/>
    <w:rsid w:val="00C60485"/>
    <w:rsid w:val="00C61923"/>
    <w:rsid w:val="00C634F0"/>
    <w:rsid w:val="00C6611A"/>
    <w:rsid w:val="00C7052A"/>
    <w:rsid w:val="00C7172B"/>
    <w:rsid w:val="00C724C9"/>
    <w:rsid w:val="00C7361E"/>
    <w:rsid w:val="00C76FB4"/>
    <w:rsid w:val="00C862A2"/>
    <w:rsid w:val="00C87638"/>
    <w:rsid w:val="00C909CC"/>
    <w:rsid w:val="00C92218"/>
    <w:rsid w:val="00C93BF9"/>
    <w:rsid w:val="00C941BA"/>
    <w:rsid w:val="00C94A6C"/>
    <w:rsid w:val="00C957F6"/>
    <w:rsid w:val="00C97698"/>
    <w:rsid w:val="00CA02DF"/>
    <w:rsid w:val="00CA1A58"/>
    <w:rsid w:val="00CA2920"/>
    <w:rsid w:val="00CA3B02"/>
    <w:rsid w:val="00CA3FB7"/>
    <w:rsid w:val="00CA5F1F"/>
    <w:rsid w:val="00CB0D5C"/>
    <w:rsid w:val="00CB4BCA"/>
    <w:rsid w:val="00CB5493"/>
    <w:rsid w:val="00CB7071"/>
    <w:rsid w:val="00CC03F0"/>
    <w:rsid w:val="00CC1D48"/>
    <w:rsid w:val="00CC3915"/>
    <w:rsid w:val="00CC4D3E"/>
    <w:rsid w:val="00CD160D"/>
    <w:rsid w:val="00CD193A"/>
    <w:rsid w:val="00CD3608"/>
    <w:rsid w:val="00CD4A87"/>
    <w:rsid w:val="00CE07A3"/>
    <w:rsid w:val="00CE1313"/>
    <w:rsid w:val="00CE2AF4"/>
    <w:rsid w:val="00CE49F1"/>
    <w:rsid w:val="00CE5053"/>
    <w:rsid w:val="00CF26B0"/>
    <w:rsid w:val="00CF28FD"/>
    <w:rsid w:val="00CF4098"/>
    <w:rsid w:val="00CF65AC"/>
    <w:rsid w:val="00CF73FD"/>
    <w:rsid w:val="00D0505E"/>
    <w:rsid w:val="00D12DE4"/>
    <w:rsid w:val="00D1672A"/>
    <w:rsid w:val="00D17EF7"/>
    <w:rsid w:val="00D21E1D"/>
    <w:rsid w:val="00D22E4C"/>
    <w:rsid w:val="00D232D4"/>
    <w:rsid w:val="00D23E45"/>
    <w:rsid w:val="00D25026"/>
    <w:rsid w:val="00D264D1"/>
    <w:rsid w:val="00D2651F"/>
    <w:rsid w:val="00D27BEB"/>
    <w:rsid w:val="00D340F3"/>
    <w:rsid w:val="00D34A7F"/>
    <w:rsid w:val="00D40CEB"/>
    <w:rsid w:val="00D44F9F"/>
    <w:rsid w:val="00D50046"/>
    <w:rsid w:val="00D50377"/>
    <w:rsid w:val="00D50E95"/>
    <w:rsid w:val="00D57DD6"/>
    <w:rsid w:val="00D60056"/>
    <w:rsid w:val="00D611F7"/>
    <w:rsid w:val="00D6554C"/>
    <w:rsid w:val="00D66A49"/>
    <w:rsid w:val="00D72558"/>
    <w:rsid w:val="00D75AB0"/>
    <w:rsid w:val="00D77818"/>
    <w:rsid w:val="00D81C3F"/>
    <w:rsid w:val="00D8384C"/>
    <w:rsid w:val="00D85D29"/>
    <w:rsid w:val="00D8639C"/>
    <w:rsid w:val="00D9084E"/>
    <w:rsid w:val="00D91B9A"/>
    <w:rsid w:val="00D922D4"/>
    <w:rsid w:val="00D97B53"/>
    <w:rsid w:val="00DA18F6"/>
    <w:rsid w:val="00DA4266"/>
    <w:rsid w:val="00DA5685"/>
    <w:rsid w:val="00DA6798"/>
    <w:rsid w:val="00DA7659"/>
    <w:rsid w:val="00DA7F11"/>
    <w:rsid w:val="00DB0B9C"/>
    <w:rsid w:val="00DB4098"/>
    <w:rsid w:val="00DB542B"/>
    <w:rsid w:val="00DB6290"/>
    <w:rsid w:val="00DB73AA"/>
    <w:rsid w:val="00DC002B"/>
    <w:rsid w:val="00DC04AD"/>
    <w:rsid w:val="00DC30D9"/>
    <w:rsid w:val="00DC58FC"/>
    <w:rsid w:val="00DC7AAA"/>
    <w:rsid w:val="00DC7B9B"/>
    <w:rsid w:val="00DD0852"/>
    <w:rsid w:val="00DD234F"/>
    <w:rsid w:val="00DD4621"/>
    <w:rsid w:val="00DD53FF"/>
    <w:rsid w:val="00DD6846"/>
    <w:rsid w:val="00DD73CC"/>
    <w:rsid w:val="00DD7F69"/>
    <w:rsid w:val="00DE0519"/>
    <w:rsid w:val="00DE0DAE"/>
    <w:rsid w:val="00DE34DD"/>
    <w:rsid w:val="00DE6C8B"/>
    <w:rsid w:val="00DE6E15"/>
    <w:rsid w:val="00DF2267"/>
    <w:rsid w:val="00DF39E3"/>
    <w:rsid w:val="00E01EFA"/>
    <w:rsid w:val="00E02C93"/>
    <w:rsid w:val="00E04B9D"/>
    <w:rsid w:val="00E05730"/>
    <w:rsid w:val="00E0615D"/>
    <w:rsid w:val="00E06D14"/>
    <w:rsid w:val="00E06FEC"/>
    <w:rsid w:val="00E141AF"/>
    <w:rsid w:val="00E14857"/>
    <w:rsid w:val="00E215CD"/>
    <w:rsid w:val="00E23C22"/>
    <w:rsid w:val="00E23DFA"/>
    <w:rsid w:val="00E317C5"/>
    <w:rsid w:val="00E32AAD"/>
    <w:rsid w:val="00E34EB7"/>
    <w:rsid w:val="00E3651B"/>
    <w:rsid w:val="00E36D08"/>
    <w:rsid w:val="00E42BDF"/>
    <w:rsid w:val="00E45C31"/>
    <w:rsid w:val="00E50A3D"/>
    <w:rsid w:val="00E55533"/>
    <w:rsid w:val="00E56EBA"/>
    <w:rsid w:val="00E57BBA"/>
    <w:rsid w:val="00E66161"/>
    <w:rsid w:val="00E6774D"/>
    <w:rsid w:val="00E70EDB"/>
    <w:rsid w:val="00E70F63"/>
    <w:rsid w:val="00E72676"/>
    <w:rsid w:val="00E73EF9"/>
    <w:rsid w:val="00E76C10"/>
    <w:rsid w:val="00E802B5"/>
    <w:rsid w:val="00E8199F"/>
    <w:rsid w:val="00E87268"/>
    <w:rsid w:val="00E90770"/>
    <w:rsid w:val="00E90ADF"/>
    <w:rsid w:val="00E96AF2"/>
    <w:rsid w:val="00E96D7A"/>
    <w:rsid w:val="00EA17A8"/>
    <w:rsid w:val="00EA200E"/>
    <w:rsid w:val="00EA21DC"/>
    <w:rsid w:val="00EA5C89"/>
    <w:rsid w:val="00EA67B8"/>
    <w:rsid w:val="00EB378A"/>
    <w:rsid w:val="00EB71C5"/>
    <w:rsid w:val="00EC0149"/>
    <w:rsid w:val="00EC10BF"/>
    <w:rsid w:val="00EC5365"/>
    <w:rsid w:val="00EC5BD9"/>
    <w:rsid w:val="00EC7042"/>
    <w:rsid w:val="00EC7129"/>
    <w:rsid w:val="00ED165B"/>
    <w:rsid w:val="00ED3716"/>
    <w:rsid w:val="00ED5A3A"/>
    <w:rsid w:val="00ED5CC7"/>
    <w:rsid w:val="00EE1CA6"/>
    <w:rsid w:val="00EE505C"/>
    <w:rsid w:val="00EE653C"/>
    <w:rsid w:val="00EF0AA0"/>
    <w:rsid w:val="00F01247"/>
    <w:rsid w:val="00F03B93"/>
    <w:rsid w:val="00F0453A"/>
    <w:rsid w:val="00F04B97"/>
    <w:rsid w:val="00F04F60"/>
    <w:rsid w:val="00F07BBD"/>
    <w:rsid w:val="00F07F48"/>
    <w:rsid w:val="00F1214F"/>
    <w:rsid w:val="00F12820"/>
    <w:rsid w:val="00F13BBE"/>
    <w:rsid w:val="00F13DF7"/>
    <w:rsid w:val="00F16EA2"/>
    <w:rsid w:val="00F170D8"/>
    <w:rsid w:val="00F172CF"/>
    <w:rsid w:val="00F2132E"/>
    <w:rsid w:val="00F21507"/>
    <w:rsid w:val="00F23B0A"/>
    <w:rsid w:val="00F308E4"/>
    <w:rsid w:val="00F32F6D"/>
    <w:rsid w:val="00F34322"/>
    <w:rsid w:val="00F34912"/>
    <w:rsid w:val="00F367D2"/>
    <w:rsid w:val="00F40385"/>
    <w:rsid w:val="00F429D0"/>
    <w:rsid w:val="00F436A7"/>
    <w:rsid w:val="00F45190"/>
    <w:rsid w:val="00F45A11"/>
    <w:rsid w:val="00F46F63"/>
    <w:rsid w:val="00F51383"/>
    <w:rsid w:val="00F5454C"/>
    <w:rsid w:val="00F550EB"/>
    <w:rsid w:val="00F6208B"/>
    <w:rsid w:val="00F6329E"/>
    <w:rsid w:val="00F64A25"/>
    <w:rsid w:val="00F663C6"/>
    <w:rsid w:val="00F7378B"/>
    <w:rsid w:val="00F73C11"/>
    <w:rsid w:val="00F757D9"/>
    <w:rsid w:val="00F75859"/>
    <w:rsid w:val="00F7623E"/>
    <w:rsid w:val="00F91531"/>
    <w:rsid w:val="00F96C26"/>
    <w:rsid w:val="00F97656"/>
    <w:rsid w:val="00F97C0C"/>
    <w:rsid w:val="00FA5DE3"/>
    <w:rsid w:val="00FA6D17"/>
    <w:rsid w:val="00FA7754"/>
    <w:rsid w:val="00FC23E6"/>
    <w:rsid w:val="00FC7840"/>
    <w:rsid w:val="00FC7F0D"/>
    <w:rsid w:val="00FD0957"/>
    <w:rsid w:val="00FD0D05"/>
    <w:rsid w:val="00FD1C3E"/>
    <w:rsid w:val="00FD65E3"/>
    <w:rsid w:val="00FD6C94"/>
    <w:rsid w:val="00FD7661"/>
    <w:rsid w:val="00FE7EAE"/>
    <w:rsid w:val="00FF018B"/>
    <w:rsid w:val="00FF191A"/>
    <w:rsid w:val="00FF231A"/>
    <w:rsid w:val="03276757"/>
    <w:rsid w:val="04695D80"/>
    <w:rsid w:val="064F495C"/>
    <w:rsid w:val="08A97D54"/>
    <w:rsid w:val="0ADF2A53"/>
    <w:rsid w:val="0BE357D4"/>
    <w:rsid w:val="0F6129A7"/>
    <w:rsid w:val="11F816CB"/>
    <w:rsid w:val="167D0EAC"/>
    <w:rsid w:val="182C78EC"/>
    <w:rsid w:val="196F0AC3"/>
    <w:rsid w:val="19706320"/>
    <w:rsid w:val="1D831C19"/>
    <w:rsid w:val="207845B9"/>
    <w:rsid w:val="21943B56"/>
    <w:rsid w:val="21B71A5C"/>
    <w:rsid w:val="24A30B42"/>
    <w:rsid w:val="24BC213C"/>
    <w:rsid w:val="26272915"/>
    <w:rsid w:val="28410E31"/>
    <w:rsid w:val="28816752"/>
    <w:rsid w:val="29E07958"/>
    <w:rsid w:val="2BCFD0C6"/>
    <w:rsid w:val="2BF299B4"/>
    <w:rsid w:val="2CDF3BBC"/>
    <w:rsid w:val="2D406074"/>
    <w:rsid w:val="2E6E72AE"/>
    <w:rsid w:val="32D86566"/>
    <w:rsid w:val="35823439"/>
    <w:rsid w:val="369C063F"/>
    <w:rsid w:val="38745A28"/>
    <w:rsid w:val="38917E2B"/>
    <w:rsid w:val="3BC77418"/>
    <w:rsid w:val="3BFF1BE6"/>
    <w:rsid w:val="3BFF20D7"/>
    <w:rsid w:val="3DD1936F"/>
    <w:rsid w:val="3E6B25D1"/>
    <w:rsid w:val="3F84017F"/>
    <w:rsid w:val="3F8C70E2"/>
    <w:rsid w:val="445115FC"/>
    <w:rsid w:val="45A26F84"/>
    <w:rsid w:val="4C2D5096"/>
    <w:rsid w:val="4CE94099"/>
    <w:rsid w:val="4E265D83"/>
    <w:rsid w:val="4E8D0302"/>
    <w:rsid w:val="4F821FC7"/>
    <w:rsid w:val="52E70EB0"/>
    <w:rsid w:val="52F744D2"/>
    <w:rsid w:val="530A61AE"/>
    <w:rsid w:val="55FFE1EA"/>
    <w:rsid w:val="57DA4CBC"/>
    <w:rsid w:val="5B1859A8"/>
    <w:rsid w:val="5D3D4060"/>
    <w:rsid w:val="5E574B67"/>
    <w:rsid w:val="604D039D"/>
    <w:rsid w:val="63E7B912"/>
    <w:rsid w:val="64716EAE"/>
    <w:rsid w:val="65F00C07"/>
    <w:rsid w:val="6A3461B9"/>
    <w:rsid w:val="6BD82D13"/>
    <w:rsid w:val="6CD360EE"/>
    <w:rsid w:val="6D8B637C"/>
    <w:rsid w:val="718F3D8D"/>
    <w:rsid w:val="744A0510"/>
    <w:rsid w:val="7523361D"/>
    <w:rsid w:val="77070D1E"/>
    <w:rsid w:val="78A95A88"/>
    <w:rsid w:val="B3FE4DFA"/>
    <w:rsid w:val="C3CB961E"/>
    <w:rsid w:val="DDFB7CE8"/>
    <w:rsid w:val="DFFF9FC1"/>
    <w:rsid w:val="E77F1118"/>
    <w:rsid w:val="F57DC46F"/>
    <w:rsid w:val="F7AEB2A3"/>
    <w:rsid w:val="F7FFEEC9"/>
    <w:rsid w:val="F8BBCD48"/>
    <w:rsid w:val="FCFFB9C4"/>
    <w:rsid w:val="FEDD8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5"/>
    <w:basedOn w:val="1"/>
    <w:next w:val="1"/>
    <w:qFormat/>
    <w:uiPriority w:val="0"/>
    <w:pPr>
      <w:keepNext/>
      <w:keepLines/>
      <w:numPr>
        <w:ilvl w:val="4"/>
        <w:numId w:val="1"/>
      </w:numPr>
      <w:spacing w:before="120" w:after="120"/>
      <w:outlineLvl w:val="4"/>
    </w:pPr>
    <w:rPr>
      <w:szCs w:val="28"/>
    </w:rPr>
  </w:style>
  <w:style w:type="paragraph" w:styleId="7">
    <w:name w:val="heading 6"/>
    <w:basedOn w:val="1"/>
    <w:next w:val="1"/>
    <w:qFormat/>
    <w:uiPriority w:val="0"/>
    <w:pPr>
      <w:keepNext/>
      <w:keepLines/>
      <w:numPr>
        <w:ilvl w:val="5"/>
        <w:numId w:val="1"/>
      </w:numPr>
      <w:spacing w:before="240" w:after="64" w:line="319" w:lineRule="auto"/>
      <w:outlineLvl w:val="5"/>
    </w:pPr>
    <w:rPr>
      <w:rFonts w:ascii="Arial" w:hAnsi="Arial"/>
    </w:rPr>
  </w:style>
  <w:style w:type="paragraph" w:styleId="8">
    <w:name w:val="heading 7"/>
    <w:basedOn w:val="1"/>
    <w:next w:val="1"/>
    <w:qFormat/>
    <w:uiPriority w:val="0"/>
    <w:pPr>
      <w:keepNext/>
      <w:keepLines/>
      <w:numPr>
        <w:ilvl w:val="6"/>
        <w:numId w:val="1"/>
      </w:numPr>
      <w:spacing w:before="240" w:after="64" w:line="319" w:lineRule="auto"/>
      <w:outlineLvl w:val="6"/>
    </w:pPr>
    <w:rPr>
      <w:b/>
      <w:bCs/>
    </w:rPr>
  </w:style>
  <w:style w:type="paragraph" w:styleId="9">
    <w:name w:val="heading 8"/>
    <w:basedOn w:val="1"/>
    <w:next w:val="1"/>
    <w:qFormat/>
    <w:uiPriority w:val="0"/>
    <w:pPr>
      <w:widowControl/>
      <w:numPr>
        <w:ilvl w:val="7"/>
        <w:numId w:val="1"/>
      </w:numPr>
      <w:overflowPunct w:val="0"/>
      <w:autoSpaceDE w:val="0"/>
      <w:autoSpaceDN w:val="0"/>
      <w:adjustRightInd w:val="0"/>
      <w:spacing w:before="240" w:after="60" w:line="360" w:lineRule="auto"/>
      <w:outlineLvl w:val="7"/>
    </w:pPr>
    <w:rPr>
      <w:rFonts w:ascii="Arial" w:hAnsi="Arial"/>
      <w:i/>
      <w:kern w:val="0"/>
      <w:sz w:val="24"/>
      <w:szCs w:val="20"/>
      <w:lang w:val="en-US" w:eastAsia="zh-CN"/>
    </w:rPr>
  </w:style>
  <w:style w:type="paragraph" w:styleId="10">
    <w:name w:val="heading 9"/>
    <w:basedOn w:val="1"/>
    <w:next w:val="1"/>
    <w:qFormat/>
    <w:uiPriority w:val="0"/>
    <w:pPr>
      <w:widowControl/>
      <w:numPr>
        <w:ilvl w:val="8"/>
        <w:numId w:val="1"/>
      </w:numPr>
      <w:overflowPunct w:val="0"/>
      <w:autoSpaceDE w:val="0"/>
      <w:autoSpaceDN w:val="0"/>
      <w:adjustRightInd w:val="0"/>
      <w:spacing w:before="240" w:after="60" w:line="360" w:lineRule="auto"/>
      <w:outlineLvl w:val="8"/>
    </w:pPr>
    <w:rPr>
      <w:rFonts w:ascii="Arial" w:hAnsi="Arial"/>
      <w:i/>
      <w:kern w:val="0"/>
      <w:sz w:val="18"/>
      <w:szCs w:val="20"/>
      <w:lang w:val="en-US" w:eastAsia="zh-CN"/>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line="580" w:lineRule="exact"/>
      <w:ind w:firstLine="600"/>
    </w:pPr>
    <w:rPr>
      <w:rFonts w:ascii="仿宋_GB2312" w:eastAsia="仿宋_GB2312"/>
      <w:sz w:val="30"/>
      <w:szCs w:val="30"/>
    </w:rPr>
  </w:style>
  <w:style w:type="paragraph" w:styleId="11">
    <w:name w:val="Document Map"/>
    <w:basedOn w:val="1"/>
    <w:semiHidden/>
    <w:qFormat/>
    <w:uiPriority w:val="0"/>
    <w:pPr>
      <w:shd w:val="clear" w:color="auto" w:fill="000080"/>
    </w:pPr>
  </w:style>
  <w:style w:type="paragraph" w:styleId="12">
    <w:name w:val="Body Text"/>
    <w:basedOn w:val="1"/>
    <w:qFormat/>
    <w:uiPriority w:val="0"/>
    <w:pPr>
      <w:jc w:val="center"/>
    </w:pPr>
    <w:rPr>
      <w:rFonts w:ascii="黑体" w:eastAsia="黑体"/>
      <w:bCs/>
      <w:sz w:val="40"/>
      <w:szCs w:val="36"/>
    </w:rPr>
  </w:style>
  <w:style w:type="paragraph" w:styleId="13">
    <w:name w:val="Plain Text"/>
    <w:basedOn w:val="1"/>
    <w:qFormat/>
    <w:uiPriority w:val="0"/>
    <w:rPr>
      <w:rFonts w:ascii="宋体" w:hAnsi="Courier New" w:cs="Courier New"/>
      <w:szCs w:val="21"/>
    </w:rPr>
  </w:style>
  <w:style w:type="paragraph" w:styleId="14">
    <w:name w:val="Date"/>
    <w:basedOn w:val="1"/>
    <w:next w:val="1"/>
    <w:qFormat/>
    <w:uiPriority w:val="0"/>
    <w:pPr>
      <w:ind w:left="100" w:leftChars="2500"/>
    </w:p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Title"/>
    <w:basedOn w:val="1"/>
    <w:qFormat/>
    <w:uiPriority w:val="0"/>
    <w:pPr>
      <w:spacing w:before="240" w:after="60"/>
      <w:jc w:val="center"/>
      <w:outlineLvl w:val="0"/>
    </w:pPr>
    <w:rPr>
      <w:rFonts w:ascii="Arial" w:hAnsi="Arial" w:cs="Arial"/>
      <w:b/>
      <w:bCs/>
      <w:szCs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page number"/>
    <w:basedOn w:val="22"/>
    <w:qFormat/>
    <w:uiPriority w:val="0"/>
  </w:style>
  <w:style w:type="character" w:styleId="25">
    <w:name w:val="Hyperlink"/>
    <w:unhideWhenUsed/>
    <w:qFormat/>
    <w:uiPriority w:val="0"/>
    <w:rPr>
      <w:color w:val="0000FF"/>
      <w:u w:val="single"/>
    </w:rPr>
  </w:style>
  <w:style w:type="paragraph" w:customStyle="1" w:styleId="26">
    <w:name w:val=" Char Char"/>
    <w:basedOn w:val="1"/>
    <w:qFormat/>
    <w:uiPriority w:val="0"/>
    <w:pPr>
      <w:ind w:firstLine="627" w:firstLineChars="196"/>
    </w:pPr>
    <w:rPr>
      <w:szCs w:val="20"/>
    </w:rPr>
  </w:style>
  <w:style w:type="paragraph" w:customStyle="1" w:styleId="27">
    <w:name w:val="Char Char Char"/>
    <w:basedOn w:val="1"/>
    <w:qFormat/>
    <w:uiPriority w:val="0"/>
    <w:pPr>
      <w:snapToGrid w:val="0"/>
    </w:pPr>
    <w:rPr>
      <w:rFonts w:ascii="Tahoma" w:hAnsi="Tahoma" w:eastAsia="仿宋_GB2312"/>
      <w:kern w:val="0"/>
      <w:sz w:val="24"/>
      <w:szCs w:val="20"/>
    </w:rPr>
  </w:style>
  <w:style w:type="paragraph" w:customStyle="1" w:styleId="28">
    <w:name w:val="样式 标题 3二级条标题h3第二层条第三层1.1.1 标题 3l3CT3h4Heading 3 - old...2"/>
    <w:basedOn w:val="1"/>
    <w:qFormat/>
    <w:uiPriority w:val="0"/>
    <w:pPr>
      <w:numPr>
        <w:ilvl w:val="2"/>
        <w:numId w:val="1"/>
      </w:numPr>
    </w:pPr>
  </w:style>
  <w:style w:type="paragraph" w:customStyle="1" w:styleId="29">
    <w:name w:val="默认段落字体 Para Char"/>
    <w:basedOn w:val="1"/>
    <w:qFormat/>
    <w:uiPriority w:val="0"/>
    <w:pPr>
      <w:adjustRightInd w:val="0"/>
      <w:spacing w:line="360" w:lineRule="auto"/>
    </w:pPr>
    <w:rPr>
      <w:kern w:val="0"/>
      <w:sz w:val="24"/>
      <w:szCs w:val="20"/>
    </w:rPr>
  </w:style>
  <w:style w:type="paragraph" w:customStyle="1" w:styleId="30">
    <w:name w:val="正文1 Char Char Char"/>
    <w:basedOn w:val="1"/>
    <w:qFormat/>
    <w:uiPriority w:val="0"/>
    <w:pPr>
      <w:spacing w:line="360" w:lineRule="auto"/>
      <w:ind w:firstLine="200" w:firstLineChars="200"/>
    </w:pPr>
  </w:style>
  <w:style w:type="paragraph" w:customStyle="1" w:styleId="3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办公自动化专用标题"/>
    <w:basedOn w:val="19"/>
    <w:qFormat/>
    <w:uiPriority w:val="0"/>
    <w:rPr>
      <w:rFonts w:ascii="Cambria" w:hAnsi="Cambria" w:cs="Times New Roman"/>
    </w:rPr>
  </w:style>
  <w:style w:type="paragraph" w:customStyle="1" w:styleId="33">
    <w:name w:val=" Char Char Char Char Char Char Char"/>
    <w:basedOn w:val="1"/>
    <w:qFormat/>
    <w:uiPriority w:val="0"/>
    <w:rPr>
      <w:szCs w:val="20"/>
    </w:rPr>
  </w:style>
  <w:style w:type="paragraph" w:customStyle="1" w:styleId="34">
    <w:name w:val=" Char"/>
    <w:basedOn w:val="1"/>
    <w:qFormat/>
    <w:uiPriority w:val="0"/>
  </w:style>
  <w:style w:type="paragraph" w:customStyle="1" w:styleId="35">
    <w:name w:val="样式 标题 2一级条标题l22Heading 2 CharH2H3二级h22nd levelheading ...1"/>
    <w:basedOn w:val="5"/>
    <w:qFormat/>
    <w:uiPriority w:val="0"/>
    <w:pPr>
      <w:numPr>
        <w:ilvl w:val="1"/>
        <w:numId w:val="1"/>
      </w:numPr>
      <w:spacing w:beforeLines="50" w:afterLines="50" w:line="240" w:lineRule="auto"/>
      <w:ind w:left="2552"/>
    </w:pPr>
    <w:rPr>
      <w:rFonts w:ascii="黑体" w:hAnsi="Times New Roman"/>
      <w:b w:val="0"/>
      <w:color w:val="000000"/>
    </w:rPr>
  </w:style>
  <w:style w:type="paragraph" w:customStyle="1" w:styleId="36">
    <w:name w:val="Char Char Char Char Char Char Char"/>
    <w:basedOn w:val="11"/>
    <w:semiHidden/>
    <w:qFormat/>
    <w:uiPriority w:val="0"/>
    <w:pPr>
      <w:numPr>
        <w:ilvl w:val="3"/>
        <w:numId w:val="1"/>
      </w:numPr>
      <w:adjustRightInd w:val="0"/>
      <w:spacing w:line="360" w:lineRule="auto"/>
      <w:jc w:val="center"/>
      <w:outlineLvl w:val="3"/>
    </w:pPr>
    <w:rPr>
      <w:rFonts w:ascii="Tahoma" w:hAnsi="Tahoma"/>
      <w:sz w:val="24"/>
    </w:rPr>
  </w:style>
  <w:style w:type="paragraph" w:customStyle="1" w:styleId="37">
    <w:name w:val="样式5"/>
    <w:basedOn w:val="4"/>
    <w:qFormat/>
    <w:uiPriority w:val="0"/>
    <w:pPr>
      <w:widowControl/>
      <w:numPr>
        <w:ilvl w:val="0"/>
        <w:numId w:val="1"/>
      </w:numPr>
      <w:tabs>
        <w:tab w:val="left" w:pos="794"/>
        <w:tab w:val="left" w:pos="2127"/>
        <w:tab w:val="left" w:pos="2410"/>
        <w:tab w:val="left" w:pos="2921"/>
        <w:tab w:val="left" w:pos="3261"/>
      </w:tabs>
      <w:overflowPunct w:val="0"/>
      <w:autoSpaceDE w:val="0"/>
      <w:autoSpaceDN w:val="0"/>
      <w:adjustRightInd w:val="0"/>
      <w:spacing w:beforeLines="50" w:afterLines="50" w:line="240" w:lineRule="auto"/>
      <w:ind w:left="2552"/>
      <w:jc w:val="center"/>
    </w:pPr>
    <w:rPr>
      <w:rFonts w:ascii="黑体" w:eastAsia="黑体"/>
      <w:b w:val="0"/>
      <w:kern w:val="0"/>
      <w:sz w:val="36"/>
      <w:szCs w:val="36"/>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625</Words>
  <Characters>3565</Characters>
  <Lines>29</Lines>
  <Paragraphs>8</Paragraphs>
  <TotalTime>25</TotalTime>
  <ScaleCrop>false</ScaleCrop>
  <LinksUpToDate>false</LinksUpToDate>
  <CharactersWithSpaces>4182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2022-03-18T16:20:00Z</dcterms:created>
  <dc:creator>shadow</dc:creator>
  <cp:lastModifiedBy>user</cp:lastModifiedBy>
  <cp:lastPrinted>2022-03-18T16:40:00Z</cp:lastPrinted>
  <dcterms:modified xsi:type="dcterms:W3CDTF">2023-10-19T20:17:05Z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5F28F7BE33A443EA941DA5AB5F9C0599</vt:lpwstr>
  </property>
</Properties>
</file>