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万载县乡村振兴局</w:t>
      </w:r>
    </w:p>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2022年政府信息公开工作年度报告</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000000"/>
          <w:kern w:val="2"/>
          <w:sz w:val="32"/>
          <w:szCs w:val="32"/>
          <w:lang w:val="en-US" w:eastAsia="zh-CN" w:bidi="ar-SA"/>
        </w:rPr>
      </w:pP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本报告严格按照《中华人民共和国政府信息公开条例》规定及国办公开办函〔2021〕30号文件要求，综合乡村振兴局各股室信息公开工作情况编制而成。报告全文主要包括总体情况、主动公开政府信息情况、收到和处理政府信息公开申请情况、因政府信息公开工作被申请行政复议提起行政诉讼情况、存在的主要问题及改进情况和其他需要报告的事项。本报告所列数据统计期限为2022年1月1日至2022年12月31日。如对本报告有任何疑问，请与万载县乡村振兴局综合部办公室联系（联系电话0795-8823031）。</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一、总体情况</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2022年，万载县乡村振兴局以习近平新时代中国特色社会主义思想为指导，深入贯彻十九届历次全会和党的二十大精神，认真落实县委、县政府关于政务信息公开的具体要求，压实工作责任，不断提高政务处理效率，提升政务公开的准度，让乡村振兴政务信息公开更加及时、透明，现将全年工作概况报告如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3" w:firstLineChars="200"/>
        <w:jc w:val="both"/>
        <w:textAlignment w:val="auto"/>
        <w:rPr>
          <w:rFonts w:hint="default"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（一）主动公开方面</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进一步完善政府信息网上公开内容，按部门职能介绍、财经信息、政务动态、提案办理、乡村振兴、政策法规六个条目进行详细归类，条理清晰，内容详实。2022年，本单位政务公开网站共发布各类公开信息136条，其中部门概况信息5条、</w:t>
      </w:r>
      <w:r>
        <w:rPr>
          <w:rFonts w:hint="eastAsia" w:ascii="Times New Roman" w:hAnsi="Times New Roman" w:eastAsia="仿宋_GB2312" w:cs="Times New Roman"/>
          <w:color w:val="000000"/>
          <w:kern w:val="2"/>
          <w:sz w:val="32"/>
          <w:szCs w:val="32"/>
          <w:lang w:val="en-US" w:eastAsia="zh-CN" w:bidi="ar-SA"/>
        </w:rPr>
        <w:t>财经信息3条、政务动态29条、建议提案办理3条、</w:t>
      </w:r>
      <w:r>
        <w:rPr>
          <w:rFonts w:hint="eastAsia" w:ascii="Times New Roman" w:hAnsi="Times New Roman" w:eastAsia="仿宋_GB2312" w:cs="Times New Roman"/>
          <w:color w:val="000000"/>
          <w:kern w:val="2"/>
          <w:sz w:val="32"/>
          <w:szCs w:val="32"/>
          <w:lang w:val="en-US" w:eastAsia="zh-CN" w:bidi="ar-SA"/>
        </w:rPr>
        <w:t>乡村振兴相关公示90条、政策法规6条。</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3" w:firstLineChars="200"/>
        <w:jc w:val="both"/>
        <w:textAlignment w:val="auto"/>
        <w:rPr>
          <w:rFonts w:hint="default"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（二）依申请公开方面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认真理解公开政策有关规定，依照规定有关细则优化和规范各股室信息交流与公开，提高依申请公开处理效率与水平，切实做好此项工作准备。根据本局实际情况，截至2022年12月31日，2022年万载县乡村振兴局没有收到任何依申请公开的申请。</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3" w:firstLineChars="200"/>
        <w:jc w:val="both"/>
        <w:textAlignment w:val="auto"/>
        <w:rPr>
          <w:rFonts w:hint="default"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（三）政府信息管理方面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优化调整政务公开领导小组，明确各股室负责人，确保信息全面、及时、准确公开，进一步提升我局政务公开质量和实效，</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3" w:firstLineChars="200"/>
        <w:jc w:val="both"/>
        <w:textAlignment w:val="auto"/>
        <w:rPr>
          <w:rFonts w:hint="default"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（四）政府信息平台建设方面</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依托万载县政府政务门户网站，全面开展政府信息公开工作，持续宣传推广巩固拓展脱贫攻坚成果同乡村振兴有效衔接工作等政策信息。</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rightChars="0" w:firstLine="643" w:firstLineChars="200"/>
        <w:jc w:val="both"/>
        <w:textAlignment w:val="auto"/>
        <w:rPr>
          <w:rFonts w:hint="eastAsia"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（五）监督保障方面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设立监督检查负责人，主动进行局里自我管理与监督，协调落实领导小组的各项决策部署，严格落实《中华人民共和国政府信息公开条例》规定，定期对政务公开工作情况进行会议讨论；深化信息公开常态化工作，扩大群众参与范围，规范公众参与方式，完善公众参与渠道；对所发现的信息公开不及时、不到位、不准确等现象及时纠正，在不断纠错中进步成长。</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Chars="0" w:firstLine="640" w:firstLineChars="200"/>
        <w:jc w:val="left"/>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行政机关主动公开政府信息情况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firstLine="640" w:firstLineChars="200"/>
        <w:jc w:val="left"/>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2022年，县乡村振兴局没有以本单位的名义制作规章和规范性文件。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380" w:firstLineChars="200"/>
        <w:jc w:val="both"/>
        <w:textAlignment w:val="auto"/>
        <w:rPr>
          <w:rFonts w:hint="eastAsia" w:ascii="宋体" w:hAnsi="宋体" w:eastAsia="宋体" w:cs="宋体"/>
          <w:i w:val="0"/>
          <w:iCs w:val="0"/>
          <w:caps w:val="0"/>
          <w:color w:val="333333"/>
          <w:spacing w:val="0"/>
          <w:sz w:val="19"/>
          <w:szCs w:val="19"/>
        </w:rPr>
      </w:pPr>
    </w:p>
    <w:tbl>
      <w:tblPr>
        <w:tblStyle w:val="4"/>
        <w:tblW w:w="85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01"/>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506"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0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本年</w:t>
            </w:r>
            <w:r>
              <w:rPr>
                <w:rFonts w:hint="eastAsia" w:asciiTheme="minorEastAsia" w:hAnsiTheme="minorEastAsia" w:eastAsiaTheme="minorEastAsia" w:cstheme="minorEastAsia"/>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现行有效件</w:t>
            </w:r>
            <w:r>
              <w:rPr>
                <w:rFonts w:hint="eastAsia" w:asciiTheme="minorEastAsia" w:hAnsiTheme="minorEastAsia" w:eastAsiaTheme="minorEastAsia" w:cstheme="minorEastAsia"/>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0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firstLine="200" w:firstLineChars="10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0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506"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0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0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506"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0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firstLine="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firstLine="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0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0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8506"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0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01"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黑体" w:hAnsi="黑体" w:eastAsia="黑体" w:cs="黑体"/>
          <w:b w:val="0"/>
          <w:bCs w:val="0"/>
          <w:color w:val="000000"/>
          <w:kern w:val="2"/>
          <w:sz w:val="32"/>
          <w:szCs w:val="32"/>
          <w:lang w:val="en-US" w:eastAsia="zh-CN" w:bidi="ar-SA"/>
        </w:rPr>
      </w:pPr>
      <w:bookmarkStart w:id="0" w:name="_GoBack"/>
      <w:bookmarkEnd w:id="0"/>
      <w:r>
        <w:rPr>
          <w:rFonts w:hint="eastAsia" w:ascii="黑体" w:hAnsi="黑体" w:eastAsia="黑体" w:cs="黑体"/>
          <w:b w:val="0"/>
          <w:bCs w:val="0"/>
          <w:color w:val="000000"/>
          <w:kern w:val="2"/>
          <w:sz w:val="32"/>
          <w:szCs w:val="32"/>
          <w:lang w:val="en-US" w:eastAsia="zh-CN" w:bidi="ar-SA"/>
        </w:rPr>
        <w:t>三、收到和处理政府信息公开申请情况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leftChars="0" w:right="0" w:firstLine="420"/>
        <w:jc w:val="both"/>
        <w:textAlignment w:val="auto"/>
        <w:rPr>
          <w:rFonts w:hint="eastAsia" w:ascii="宋体" w:hAnsi="宋体" w:eastAsia="宋体" w:cs="宋体"/>
          <w:i w:val="0"/>
          <w:iCs w:val="0"/>
          <w:caps w:val="0"/>
          <w:color w:val="333333"/>
          <w:spacing w:val="0"/>
          <w:sz w:val="19"/>
          <w:szCs w:val="19"/>
        </w:rPr>
      </w:pPr>
    </w:p>
    <w:tbl>
      <w:tblPr>
        <w:tblStyle w:val="4"/>
        <w:tblW w:w="861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514"/>
        <w:gridCol w:w="905"/>
        <w:gridCol w:w="2792"/>
        <w:gridCol w:w="629"/>
        <w:gridCol w:w="629"/>
        <w:gridCol w:w="629"/>
        <w:gridCol w:w="629"/>
        <w:gridCol w:w="629"/>
        <w:gridCol w:w="629"/>
        <w:gridCol w:w="6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127"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ascii="楷体" w:hAnsi="楷体" w:eastAsia="楷体" w:cs="楷体"/>
                <w:kern w:val="0"/>
                <w:sz w:val="20"/>
                <w:szCs w:val="20"/>
                <w:lang w:val="en-US" w:eastAsia="zh-CN" w:bidi="ar"/>
              </w:rPr>
              <w:t>（本列数据的勾稽关系为：第一项加第二项之和，等于第三项加第四项之和）</w:t>
            </w:r>
          </w:p>
        </w:tc>
        <w:tc>
          <w:tcPr>
            <w:tcW w:w="448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12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641"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自然人</w:t>
            </w:r>
          </w:p>
        </w:tc>
        <w:tc>
          <w:tcPr>
            <w:tcW w:w="3205"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法人或其他组织</w:t>
            </w:r>
          </w:p>
        </w:tc>
        <w:tc>
          <w:tcPr>
            <w:tcW w:w="642"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127"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641" w:type="dxa"/>
            <w:vMerge w:val="continue"/>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企业</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机构</w:t>
            </w:r>
          </w:p>
        </w:tc>
        <w:tc>
          <w:tcPr>
            <w:tcW w:w="64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社会公益组织</w:t>
            </w:r>
          </w:p>
        </w:tc>
        <w:tc>
          <w:tcPr>
            <w:tcW w:w="64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法律服务机构</w:t>
            </w:r>
          </w:p>
        </w:tc>
        <w:tc>
          <w:tcPr>
            <w:tcW w:w="641"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其他</w:t>
            </w:r>
          </w:p>
        </w:tc>
        <w:tc>
          <w:tcPr>
            <w:tcW w:w="642"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12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一、本年新收政府信息公开申请数量</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Calibri" w:hAnsi="Calibri" w:cs="Calibri"/>
                <w:kern w:val="0"/>
                <w:sz w:val="20"/>
                <w:szCs w:val="20"/>
                <w:lang w:val="en-US" w:eastAsia="zh-CN" w:bidi="ar"/>
              </w:rPr>
              <w:t>0</w:t>
            </w:r>
          </w:p>
        </w:tc>
        <w:tc>
          <w:tcPr>
            <w:tcW w:w="64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127"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二、上年结转政府信息公开申请数量</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三、本年度办理结果</w:t>
            </w:r>
          </w:p>
        </w:tc>
        <w:tc>
          <w:tcPr>
            <w:tcW w:w="379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（一）予以公开</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2"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3792"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91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（三）不予公开</w:t>
            </w:r>
          </w:p>
        </w:tc>
        <w:tc>
          <w:tcPr>
            <w:tcW w:w="28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1.属于国家秘密</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2"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91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28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2.其他法律行政法规禁止公开</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91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28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3.危及“三安全一稳定”</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91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28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4.保护第三方合法权益</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91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28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5.属于三类内部事务信息</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91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28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6.属于四类过程性信息</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91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28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7.属于行政执法案卷</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913" w:type="dxa"/>
            <w:vMerge w:val="continue"/>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28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8.属于行政查询事项</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3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pageBreakBefore w:val="0"/>
              <w:kinsoku/>
              <w:wordWrap/>
              <w:overflowPunct/>
              <w:topLinePunct w:val="0"/>
              <w:autoSpaceDE/>
              <w:autoSpaceDN/>
              <w:bidi w:val="0"/>
              <w:adjustRightInd/>
              <w:snapToGrid/>
              <w:spacing w:line="600" w:lineRule="exact"/>
              <w:ind w:leftChars="0"/>
              <w:jc w:val="center"/>
              <w:textAlignment w:val="auto"/>
              <w:rPr>
                <w:rFonts w:hint="eastAsia" w:ascii="宋体"/>
                <w:sz w:val="24"/>
                <w:szCs w:val="24"/>
              </w:rPr>
            </w:pPr>
          </w:p>
        </w:tc>
        <w:tc>
          <w:tcPr>
            <w:tcW w:w="913"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（四）无法提供</w:t>
            </w:r>
          </w:p>
        </w:tc>
        <w:tc>
          <w:tcPr>
            <w:tcW w:w="287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pPr>
            <w:r>
              <w:rPr>
                <w:rFonts w:hint="eastAsia" w:ascii="宋体" w:hAnsi="宋体" w:eastAsia="宋体" w:cs="宋体"/>
                <w:kern w:val="0"/>
                <w:sz w:val="20"/>
                <w:szCs w:val="20"/>
                <w:lang w:val="en-US" w:eastAsia="zh-CN" w:bidi="ar"/>
              </w:rPr>
              <w:t>1.本机关不掌握相关政府信息</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jc w:val="center"/>
              <w:textAlignment w:val="auto"/>
              <w:rPr>
                <w:rFonts w:hint="default"/>
                <w:lang w:val="en-US"/>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c>
          <w:tcPr>
            <w:tcW w:w="642"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leftChars="0" w:right="0" w:rightChars="0"/>
              <w:jc w:val="center"/>
              <w:textAlignment w:val="auto"/>
              <w:rPr>
                <w:rFonts w:hint="default" w:ascii="Calibri" w:hAnsi="Calibri" w:eastAsia="宋体" w:cs="Times New Roman"/>
                <w:kern w:val="2"/>
                <w:sz w:val="21"/>
                <w:szCs w:val="24"/>
                <w:lang w:val="en-US" w:eastAsia="zh-CN" w:bidi="ar-SA"/>
              </w:rPr>
            </w:pPr>
            <w:r>
              <w:rPr>
                <w:rFonts w:hint="eastAsia" w:ascii="Calibri" w:hAnsi="Calibri" w:cs="Calibri"/>
                <w:kern w:val="0"/>
                <w:sz w:val="20"/>
                <w:szCs w:val="20"/>
                <w:lang w:val="en-US" w:eastAsia="zh-CN" w:bidi="ar"/>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Chars="0" w:right="0"/>
        <w:jc w:val="both"/>
        <w:textAlignment w:val="auto"/>
        <w:rPr>
          <w:rFonts w:hint="eastAsia" w:ascii="楷体_GB2312" w:hAnsi="楷体_GB2312" w:eastAsia="楷体_GB2312" w:cs="楷体_GB2312"/>
          <w:b/>
          <w:bCs/>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四、政府信息公开行政复议、行政诉讼情况</w:t>
      </w:r>
    </w:p>
    <w:tbl>
      <w:tblPr>
        <w:tblStyle w:val="4"/>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210" w:type="dxa"/>
            <w:gridSpan w:val="5"/>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2" w:type="dxa"/>
            <w:vMerge w:val="restart"/>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结果</w:t>
            </w:r>
            <w:r>
              <w:rPr>
                <w:rFonts w:hint="eastAsia" w:ascii="宋体" w:hAnsi="宋体" w:eastAsia="宋体" w:cs="宋体"/>
                <w:i w:val="0"/>
                <w:iCs w:val="0"/>
                <w:caps w:val="0"/>
                <w:color w:val="000000"/>
                <w:spacing w:val="0"/>
                <w:kern w:val="0"/>
                <w:sz w:val="20"/>
                <w:szCs w:val="20"/>
                <w:lang w:val="en-US" w:eastAsia="zh-CN" w:bidi="ar"/>
              </w:rPr>
              <w:br w:type="textWrapping"/>
            </w:r>
            <w:r>
              <w:rPr>
                <w:rFonts w:hint="eastAsia" w:ascii="宋体" w:hAnsi="宋体" w:eastAsia="宋体" w:cs="宋体"/>
                <w:i w:val="0"/>
                <w:iCs w:val="0"/>
                <w:caps w:val="0"/>
                <w:color w:val="000000"/>
                <w:spacing w:val="0"/>
                <w:kern w:val="0"/>
                <w:sz w:val="20"/>
                <w:szCs w:val="20"/>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其他</w:t>
            </w:r>
            <w:r>
              <w:rPr>
                <w:rFonts w:hint="eastAsia" w:ascii="宋体" w:hAnsi="宋体" w:eastAsia="宋体" w:cs="宋体"/>
                <w:i w:val="0"/>
                <w:iCs w:val="0"/>
                <w:caps w:val="0"/>
                <w:color w:val="000000"/>
                <w:spacing w:val="0"/>
                <w:kern w:val="0"/>
                <w:sz w:val="20"/>
                <w:szCs w:val="20"/>
                <w:lang w:val="en-US" w:eastAsia="zh-CN" w:bidi="ar"/>
              </w:rPr>
              <w:br w:type="textWrapping"/>
            </w:r>
            <w:r>
              <w:rPr>
                <w:rFonts w:hint="eastAsia" w:ascii="宋体" w:hAnsi="宋体" w:eastAsia="宋体" w:cs="宋体"/>
                <w:i w:val="0"/>
                <w:iCs w:val="0"/>
                <w:caps w:val="0"/>
                <w:color w:val="000000"/>
                <w:spacing w:val="0"/>
                <w:kern w:val="0"/>
                <w:sz w:val="20"/>
                <w:szCs w:val="20"/>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尚未</w:t>
            </w:r>
            <w:r>
              <w:rPr>
                <w:rFonts w:hint="eastAsia" w:ascii="宋体" w:hAnsi="宋体" w:eastAsia="宋体" w:cs="宋体"/>
                <w:i w:val="0"/>
                <w:iCs w:val="0"/>
                <w:caps w:val="0"/>
                <w:color w:val="000000"/>
                <w:spacing w:val="0"/>
                <w:kern w:val="0"/>
                <w:sz w:val="20"/>
                <w:szCs w:val="20"/>
                <w:lang w:val="en-US" w:eastAsia="zh-CN" w:bidi="ar"/>
              </w:rPr>
              <w:br w:type="textWrapping"/>
            </w:r>
            <w:r>
              <w:rPr>
                <w:rFonts w:hint="eastAsia" w:ascii="宋体" w:hAnsi="宋体" w:eastAsia="宋体" w:cs="宋体"/>
                <w:i w:val="0"/>
                <w:iCs w:val="0"/>
                <w:caps w:val="0"/>
                <w:color w:val="000000"/>
                <w:spacing w:val="0"/>
                <w:kern w:val="0"/>
                <w:sz w:val="20"/>
                <w:szCs w:val="20"/>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642" w:type="dxa"/>
            <w:vMerge w:val="continue"/>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iCs w:val="0"/>
                <w:caps w:val="0"/>
                <w:color w:val="000000"/>
                <w:spacing w:val="0"/>
                <w:sz w:val="26"/>
                <w:szCs w:val="26"/>
              </w:rPr>
            </w:pPr>
          </w:p>
        </w:tc>
        <w:tc>
          <w:tcPr>
            <w:tcW w:w="642" w:type="dxa"/>
            <w:vMerge w:val="continue"/>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iCs w:val="0"/>
                <w:caps w:val="0"/>
                <w:color w:val="000000"/>
                <w:spacing w:val="0"/>
                <w:sz w:val="26"/>
                <w:szCs w:val="26"/>
              </w:rPr>
            </w:pPr>
          </w:p>
        </w:tc>
        <w:tc>
          <w:tcPr>
            <w:tcW w:w="642"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iCs w:val="0"/>
                <w:caps w:val="0"/>
                <w:color w:val="000000"/>
                <w:spacing w:val="0"/>
                <w:sz w:val="26"/>
                <w:szCs w:val="26"/>
              </w:rPr>
            </w:pPr>
          </w:p>
        </w:tc>
        <w:tc>
          <w:tcPr>
            <w:tcW w:w="642"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iCs w:val="0"/>
                <w:caps w:val="0"/>
                <w:color w:val="000000"/>
                <w:spacing w:val="0"/>
                <w:sz w:val="26"/>
                <w:szCs w:val="26"/>
              </w:rPr>
            </w:pPr>
          </w:p>
        </w:tc>
        <w:tc>
          <w:tcPr>
            <w:tcW w:w="642" w:type="dxa"/>
            <w:vMerge w:val="continue"/>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rPr>
                <w:rFonts w:hint="eastAsia" w:ascii="微软雅黑" w:hAnsi="微软雅黑" w:eastAsia="微软雅黑" w:cs="微软雅黑"/>
                <w:i w:val="0"/>
                <w:iCs w:val="0"/>
                <w:caps w:val="0"/>
                <w:color w:val="000000"/>
                <w:spacing w:val="0"/>
                <w:sz w:val="26"/>
                <w:szCs w:val="26"/>
              </w:rPr>
            </w:pPr>
          </w:p>
        </w:tc>
        <w:tc>
          <w:tcPr>
            <w:tcW w:w="6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结果</w:t>
            </w:r>
            <w:r>
              <w:rPr>
                <w:rFonts w:hint="eastAsia" w:ascii="宋体" w:hAnsi="宋体" w:eastAsia="宋体" w:cs="宋体"/>
                <w:i w:val="0"/>
                <w:iCs w:val="0"/>
                <w:caps w:val="0"/>
                <w:color w:val="000000"/>
                <w:spacing w:val="0"/>
                <w:kern w:val="0"/>
                <w:sz w:val="20"/>
                <w:szCs w:val="20"/>
                <w:lang w:val="en-US" w:eastAsia="zh-CN" w:bidi="ar"/>
              </w:rPr>
              <w:br w:type="textWrapping"/>
            </w:r>
            <w:r>
              <w:rPr>
                <w:rFonts w:hint="eastAsia" w:ascii="宋体" w:hAnsi="宋体" w:eastAsia="宋体" w:cs="宋体"/>
                <w:i w:val="0"/>
                <w:iCs w:val="0"/>
                <w:caps w:val="0"/>
                <w:color w:val="000000"/>
                <w:spacing w:val="0"/>
                <w:kern w:val="0"/>
                <w:sz w:val="20"/>
                <w:szCs w:val="20"/>
                <w:lang w:val="en-US" w:eastAsia="zh-CN" w:bidi="ar"/>
              </w:rPr>
              <w:t>维持</w:t>
            </w:r>
          </w:p>
        </w:tc>
        <w:tc>
          <w:tcPr>
            <w:tcW w:w="6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结果</w:t>
            </w:r>
            <w:r>
              <w:rPr>
                <w:rFonts w:hint="eastAsia" w:ascii="宋体" w:hAnsi="宋体" w:eastAsia="宋体" w:cs="宋体"/>
                <w:i w:val="0"/>
                <w:iCs w:val="0"/>
                <w:caps w:val="0"/>
                <w:color w:val="000000"/>
                <w:spacing w:val="0"/>
                <w:kern w:val="0"/>
                <w:sz w:val="20"/>
                <w:szCs w:val="20"/>
                <w:lang w:val="en-US" w:eastAsia="zh-CN" w:bidi="ar"/>
              </w:rPr>
              <w:br w:type="textWrapping"/>
            </w:r>
            <w:r>
              <w:rPr>
                <w:rFonts w:hint="eastAsia" w:ascii="宋体" w:hAnsi="宋体" w:eastAsia="宋体" w:cs="宋体"/>
                <w:i w:val="0"/>
                <w:iCs w:val="0"/>
                <w:caps w:val="0"/>
                <w:color w:val="000000"/>
                <w:spacing w:val="0"/>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其他</w:t>
            </w:r>
            <w:r>
              <w:rPr>
                <w:rFonts w:hint="eastAsia" w:ascii="宋体" w:hAnsi="宋体" w:eastAsia="宋体" w:cs="宋体"/>
                <w:i w:val="0"/>
                <w:iCs w:val="0"/>
                <w:caps w:val="0"/>
                <w:color w:val="000000"/>
                <w:spacing w:val="0"/>
                <w:kern w:val="0"/>
                <w:sz w:val="20"/>
                <w:szCs w:val="20"/>
                <w:lang w:val="en-US" w:eastAsia="zh-CN" w:bidi="ar"/>
              </w:rPr>
              <w:br w:type="textWrapping"/>
            </w:r>
            <w:r>
              <w:rPr>
                <w:rFonts w:hint="eastAsia" w:ascii="宋体" w:hAnsi="宋体" w:eastAsia="宋体" w:cs="宋体"/>
                <w:i w:val="0"/>
                <w:iCs w:val="0"/>
                <w:caps w:val="0"/>
                <w:color w:val="000000"/>
                <w:spacing w:val="0"/>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尚未</w:t>
            </w:r>
            <w:r>
              <w:rPr>
                <w:rFonts w:hint="eastAsia" w:ascii="宋体" w:hAnsi="宋体" w:eastAsia="宋体" w:cs="宋体"/>
                <w:i w:val="0"/>
                <w:iCs w:val="0"/>
                <w:caps w:val="0"/>
                <w:color w:val="000000"/>
                <w:spacing w:val="0"/>
                <w:kern w:val="0"/>
                <w:sz w:val="20"/>
                <w:szCs w:val="20"/>
                <w:lang w:val="en-US" w:eastAsia="zh-CN" w:bidi="ar"/>
              </w:rPr>
              <w:br w:type="textWrapping"/>
            </w:r>
            <w:r>
              <w:rPr>
                <w:rFonts w:hint="eastAsia" w:ascii="宋体" w:hAnsi="宋体" w:eastAsia="宋体" w:cs="宋体"/>
                <w:i w:val="0"/>
                <w:iCs w:val="0"/>
                <w:caps w:val="0"/>
                <w:color w:val="000000"/>
                <w:spacing w:val="0"/>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结果</w:t>
            </w:r>
            <w:r>
              <w:rPr>
                <w:rFonts w:hint="eastAsia" w:ascii="宋体" w:hAnsi="宋体" w:eastAsia="宋体" w:cs="宋体"/>
                <w:i w:val="0"/>
                <w:iCs w:val="0"/>
                <w:caps w:val="0"/>
                <w:color w:val="000000"/>
                <w:spacing w:val="0"/>
                <w:kern w:val="0"/>
                <w:sz w:val="20"/>
                <w:szCs w:val="20"/>
                <w:lang w:val="en-US" w:eastAsia="zh-CN" w:bidi="ar"/>
              </w:rPr>
              <w:br w:type="textWrapping"/>
            </w:r>
            <w:r>
              <w:rPr>
                <w:rFonts w:hint="eastAsia" w:ascii="宋体" w:hAnsi="宋体" w:eastAsia="宋体" w:cs="宋体"/>
                <w:i w:val="0"/>
                <w:iCs w:val="0"/>
                <w:caps w:val="0"/>
                <w:color w:val="000000"/>
                <w:spacing w:val="0"/>
                <w:kern w:val="0"/>
                <w:sz w:val="20"/>
                <w:szCs w:val="20"/>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结果</w:t>
            </w:r>
            <w:r>
              <w:rPr>
                <w:rFonts w:hint="eastAsia" w:ascii="宋体" w:hAnsi="宋体" w:eastAsia="宋体" w:cs="宋体"/>
                <w:i w:val="0"/>
                <w:iCs w:val="0"/>
                <w:caps w:val="0"/>
                <w:color w:val="000000"/>
                <w:spacing w:val="0"/>
                <w:kern w:val="0"/>
                <w:sz w:val="20"/>
                <w:szCs w:val="20"/>
                <w:lang w:val="en-US" w:eastAsia="zh-CN" w:bidi="ar"/>
              </w:rPr>
              <w:br w:type="textWrapping"/>
            </w:r>
            <w:r>
              <w:rPr>
                <w:rFonts w:hint="eastAsia" w:ascii="宋体" w:hAnsi="宋体" w:eastAsia="宋体" w:cs="宋体"/>
                <w:i w:val="0"/>
                <w:iCs w:val="0"/>
                <w:caps w:val="0"/>
                <w:color w:val="000000"/>
                <w:spacing w:val="0"/>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其他</w:t>
            </w:r>
            <w:r>
              <w:rPr>
                <w:rFonts w:hint="eastAsia" w:ascii="宋体" w:hAnsi="宋体" w:eastAsia="宋体" w:cs="宋体"/>
                <w:i w:val="0"/>
                <w:iCs w:val="0"/>
                <w:caps w:val="0"/>
                <w:color w:val="000000"/>
                <w:spacing w:val="0"/>
                <w:kern w:val="0"/>
                <w:sz w:val="20"/>
                <w:szCs w:val="20"/>
                <w:lang w:val="en-US" w:eastAsia="zh-CN" w:bidi="ar"/>
              </w:rPr>
              <w:br w:type="textWrapping"/>
            </w:r>
            <w:r>
              <w:rPr>
                <w:rFonts w:hint="eastAsia" w:ascii="宋体" w:hAnsi="宋体" w:eastAsia="宋体" w:cs="宋体"/>
                <w:i w:val="0"/>
                <w:iCs w:val="0"/>
                <w:caps w:val="0"/>
                <w:color w:val="000000"/>
                <w:spacing w:val="0"/>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尚未</w:t>
            </w:r>
            <w:r>
              <w:rPr>
                <w:rFonts w:hint="eastAsia" w:ascii="宋体" w:hAnsi="宋体" w:eastAsia="宋体" w:cs="宋体"/>
                <w:i w:val="0"/>
                <w:iCs w:val="0"/>
                <w:caps w:val="0"/>
                <w:color w:val="000000"/>
                <w:spacing w:val="0"/>
                <w:kern w:val="0"/>
                <w:sz w:val="20"/>
                <w:szCs w:val="20"/>
                <w:lang w:val="en-US" w:eastAsia="zh-CN" w:bidi="ar"/>
              </w:rPr>
              <w:br w:type="textWrapping"/>
            </w:r>
            <w:r>
              <w:rPr>
                <w:rFonts w:hint="eastAsia" w:ascii="宋体" w:hAnsi="宋体" w:eastAsia="宋体" w:cs="宋体"/>
                <w:i w:val="0"/>
                <w:iCs w:val="0"/>
                <w:caps w:val="0"/>
                <w:color w:val="000000"/>
                <w:spacing w:val="0"/>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i w:val="0"/>
                <w:iCs w:val="0"/>
                <w:caps w:val="0"/>
                <w:color w:val="000000"/>
                <w:spacing w:val="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trPr>
        <w:tc>
          <w:tcPr>
            <w:tcW w:w="64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Calibri" w:hAnsi="Calibri" w:eastAsia="宋体" w:cs="Calibri"/>
                <w:i w:val="0"/>
                <w:iCs w:val="0"/>
                <w:caps w:val="0"/>
                <w:color w:val="000000"/>
                <w:spacing w:val="0"/>
                <w:kern w:val="0"/>
                <w:sz w:val="21"/>
                <w:szCs w:val="21"/>
                <w:lang w:val="en-US" w:eastAsia="zh-CN" w:bidi="ar"/>
              </w:rPr>
              <w:t>0</w:t>
            </w:r>
          </w:p>
        </w:tc>
        <w:tc>
          <w:tcPr>
            <w:tcW w:w="6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ascii="黑体" w:hAnsi="宋体" w:eastAsia="黑体" w:cs="黑体"/>
                <w:i w:val="0"/>
                <w:iCs w:val="0"/>
                <w:caps w:val="0"/>
                <w:color w:val="000000"/>
                <w:spacing w:val="0"/>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i w:val="0"/>
                <w:iCs w:val="0"/>
                <w:caps w:val="0"/>
                <w:color w:val="000000"/>
                <w:spacing w:val="0"/>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i w:val="0"/>
                <w:iCs w:val="0"/>
                <w:caps w:val="0"/>
                <w:color w:val="000000"/>
                <w:spacing w:val="0"/>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i w:val="0"/>
                <w:iCs w:val="0"/>
                <w:caps w:val="0"/>
                <w:color w:val="000000"/>
                <w:spacing w:val="0"/>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i w:val="0"/>
                <w:iCs w:val="0"/>
                <w:caps w:val="0"/>
                <w:color w:val="000000"/>
                <w:spacing w:val="0"/>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Calibri" w:hAnsi="Calibri" w:eastAsia="宋体" w:cs="Calibri"/>
                <w:i w:val="0"/>
                <w:iCs w:val="0"/>
                <w:caps w:val="0"/>
                <w:color w:val="000000"/>
                <w:spacing w:val="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Calibri" w:hAnsi="Calibri" w:eastAsia="宋体" w:cs="Calibri"/>
                <w:i w:val="0"/>
                <w:iCs w:val="0"/>
                <w:caps w:val="0"/>
                <w:color w:val="000000"/>
                <w:spacing w:val="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Calibri" w:hAnsi="Calibri" w:eastAsia="宋体" w:cs="Calibri"/>
                <w:i w:val="0"/>
                <w:iCs w:val="0"/>
                <w:caps w:val="0"/>
                <w:color w:val="000000"/>
                <w:spacing w:val="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Calibri" w:hAnsi="Calibri" w:eastAsia="宋体" w:cs="Calibri"/>
                <w:i w:val="0"/>
                <w:iCs w:val="0"/>
                <w:caps w:val="0"/>
                <w:color w:val="000000"/>
                <w:spacing w:val="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Calibri" w:hAnsi="Calibri" w:eastAsia="宋体" w:cs="Calibri"/>
                <w:i w:val="0"/>
                <w:iCs w:val="0"/>
                <w:caps w:val="0"/>
                <w:color w:val="000000"/>
                <w:spacing w:val="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Calibri" w:hAnsi="Calibri" w:eastAsia="宋体" w:cs="Calibri"/>
                <w:i w:val="0"/>
                <w:iCs w:val="0"/>
                <w:caps w:val="0"/>
                <w:color w:val="000000"/>
                <w:spacing w:val="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Calibri" w:hAnsi="Calibri" w:eastAsia="宋体" w:cs="Calibri"/>
                <w:i w:val="0"/>
                <w:iCs w:val="0"/>
                <w:caps w:val="0"/>
                <w:color w:val="000000"/>
                <w:spacing w:val="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default" w:ascii="Calibri" w:hAnsi="Calibri" w:eastAsia="宋体" w:cs="Calibri"/>
                <w:i w:val="0"/>
                <w:iCs w:val="0"/>
                <w:caps w:val="0"/>
                <w:color w:val="000000"/>
                <w:spacing w:val="0"/>
                <w:kern w:val="0"/>
                <w:sz w:val="21"/>
                <w:szCs w:val="21"/>
                <w:lang w:val="en-US" w:eastAsia="zh-CN" w:bidi="ar"/>
              </w:rPr>
              <w:t>0</w:t>
            </w:r>
          </w:p>
        </w:tc>
        <w:tc>
          <w:tcPr>
            <w:tcW w:w="6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jc w:val="center"/>
            </w:pPr>
            <w:r>
              <w:rPr>
                <w:rFonts w:hint="eastAsia" w:ascii="宋体" w:hAnsi="宋体" w:eastAsia="宋体" w:cs="宋体"/>
                <w:i w:val="0"/>
                <w:iCs w:val="0"/>
                <w:caps w:val="0"/>
                <w:color w:val="000000"/>
                <w:spacing w:val="0"/>
                <w:kern w:val="0"/>
                <w:sz w:val="24"/>
                <w:szCs w:val="24"/>
                <w:lang w:val="en-US" w:eastAsia="zh-CN" w:bidi="ar"/>
              </w:rPr>
              <w:t>0</w:t>
            </w:r>
          </w:p>
        </w:tc>
      </w:tr>
    </w:tbl>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仿宋_GB2312" w:cs="Times New Roman"/>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五、存在的主要问题及改进情况</w:t>
      </w:r>
    </w:p>
    <w:p>
      <w:pPr>
        <w:pStyle w:val="2"/>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（一）存在的主要问题</w:t>
      </w:r>
    </w:p>
    <w:p>
      <w:pPr>
        <w:pStyle w:val="2"/>
        <w:keepNext w:val="0"/>
        <w:keepLines w:val="0"/>
        <w:pageBreakBefore w:val="0"/>
        <w:kinsoku/>
        <w:wordWrap/>
        <w:overflowPunct/>
        <w:topLinePunct w:val="0"/>
        <w:autoSpaceDE/>
        <w:autoSpaceDN/>
        <w:bidi w:val="0"/>
        <w:adjustRightInd/>
        <w:snapToGrid/>
        <w:spacing w:line="600" w:lineRule="exact"/>
        <w:ind w:left="0" w:leftChars="0" w:firstLine="640"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公开渠道单一，群众熟悉度不高；主动公开信息内容不够深入。</w:t>
      </w:r>
    </w:p>
    <w:p>
      <w:pPr>
        <w:pStyle w:val="2"/>
        <w:keepNext w:val="0"/>
        <w:keepLines w:val="0"/>
        <w:pageBreakBefore w:val="0"/>
        <w:kinsoku/>
        <w:wordWrap/>
        <w:overflowPunct/>
        <w:topLinePunct w:val="0"/>
        <w:autoSpaceDE/>
        <w:autoSpaceDN/>
        <w:bidi w:val="0"/>
        <w:adjustRightInd/>
        <w:snapToGrid/>
        <w:spacing w:line="600" w:lineRule="exact"/>
        <w:ind w:left="0" w:leftChars="0" w:firstLine="643" w:firstLineChars="200"/>
        <w:textAlignment w:val="auto"/>
        <w:rPr>
          <w:rFonts w:hint="eastAsia" w:ascii="楷体_GB2312" w:hAnsi="楷体_GB2312" w:eastAsia="楷体_GB2312" w:cs="楷体_GB2312"/>
          <w:b/>
          <w:bCs/>
          <w:color w:val="000000"/>
          <w:kern w:val="2"/>
          <w:sz w:val="32"/>
          <w:szCs w:val="32"/>
          <w:lang w:val="en-US" w:eastAsia="zh-CN" w:bidi="ar-SA"/>
        </w:rPr>
      </w:pPr>
      <w:r>
        <w:rPr>
          <w:rFonts w:hint="eastAsia" w:ascii="楷体_GB2312" w:hAnsi="楷体_GB2312" w:eastAsia="楷体_GB2312" w:cs="楷体_GB2312"/>
          <w:b/>
          <w:bCs/>
          <w:color w:val="000000"/>
          <w:kern w:val="2"/>
          <w:sz w:val="32"/>
          <w:szCs w:val="32"/>
          <w:lang w:val="en-US" w:eastAsia="zh-CN" w:bidi="ar-SA"/>
        </w:rPr>
        <w:t>（二）改进措施</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强化各股室对政务公开文件的解读，拓宽解读形式；</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深入理解和掌握新修订的《中华人民共和国政府信息公开条例》，抓好政务公开落实工作。</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Times New Roman" w:hAnsi="Times New Roman" w:eastAsia="仿宋_GB2312" w:cs="Times New Roman"/>
          <w:color w:val="000000"/>
          <w:kern w:val="2"/>
          <w:sz w:val="32"/>
          <w:szCs w:val="32"/>
          <w:lang w:val="en-US" w:eastAsia="zh-CN" w:bidi="ar-SA"/>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Chars="0" w:right="0" w:firstLine="640" w:firstLineChars="200"/>
        <w:jc w:val="both"/>
        <w:textAlignment w:val="auto"/>
        <w:rPr>
          <w:rFonts w:hint="default"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line="600" w:lineRule="exact"/>
        <w:ind w:leftChars="0" w:firstLine="640" w:firstLineChars="200"/>
        <w:jc w:val="left"/>
        <w:textAlignment w:val="auto"/>
        <w:rPr>
          <w:rFonts w:hint="eastAsia" w:ascii="Times New Roman" w:hAnsi="Times New Roman" w:eastAsia="仿宋_GB2312" w:cs="Times New Roman"/>
          <w:color w:val="000000"/>
          <w:kern w:val="2"/>
          <w:sz w:val="32"/>
          <w:szCs w:val="32"/>
          <w:lang w:val="en-US" w:eastAsia="zh-CN" w:bidi="ar-SA"/>
        </w:rPr>
      </w:pPr>
      <w:r>
        <w:rPr>
          <w:rFonts w:hint="eastAsia" w:ascii="仿宋_GB2312" w:hAnsi="宋体" w:eastAsia="仿宋_GB2312" w:cs="仿宋_GB2312"/>
          <w:spacing w:val="0"/>
          <w:kern w:val="0"/>
          <w:sz w:val="32"/>
          <w:szCs w:val="32"/>
          <w:lang w:val="en-US" w:eastAsia="zh-CN" w:bidi="ar"/>
        </w:rPr>
        <w:t>本年度没有收取信息处理费，无其他需要报告的事项。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3F4428"/>
    <w:multiLevelType w:val="singleLevel"/>
    <w:tmpl w:val="7F3F442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4NGNlNmY1NTZhMWYxODNlMmIwYzg1ZTBlNjM2ZDkifQ=="/>
  </w:docVars>
  <w:rsids>
    <w:rsidRoot w:val="2F407EBE"/>
    <w:rsid w:val="03B10EED"/>
    <w:rsid w:val="13403E9A"/>
    <w:rsid w:val="244A58A3"/>
    <w:rsid w:val="2F407EBE"/>
    <w:rsid w:val="32B17932"/>
    <w:rsid w:val="33792D93"/>
    <w:rsid w:val="35C7583B"/>
    <w:rsid w:val="3820649D"/>
    <w:rsid w:val="38E150FB"/>
    <w:rsid w:val="44B57B36"/>
    <w:rsid w:val="453C0EB3"/>
    <w:rsid w:val="47134E57"/>
    <w:rsid w:val="69342E70"/>
    <w:rsid w:val="6B9B48D9"/>
    <w:rsid w:val="6C6A1AB7"/>
    <w:rsid w:val="7F47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pPr>
    <w:rPr>
      <w:rFonts w:ascii="Calibri" w:hAnsi="Calibri" w:eastAsia="微软雅黑" w:cs="Times New Roman"/>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customStyle="1" w:styleId="8">
    <w:name w:val="llcs"/>
    <w:basedOn w:val="5"/>
    <w:qFormat/>
    <w:uiPriority w:val="0"/>
    <w:rPr>
      <w:vanish/>
    </w:rPr>
  </w:style>
  <w:style w:type="character" w:customStyle="1" w:styleId="9">
    <w:name w:val="hover16"/>
    <w:basedOn w:val="5"/>
    <w:qFormat/>
    <w:uiPriority w:val="0"/>
    <w:rPr>
      <w:shd w:val="clear" w:fill="929292"/>
    </w:rPr>
  </w:style>
  <w:style w:type="character" w:customStyle="1" w:styleId="10">
    <w:name w:val="article-icon"/>
    <w:basedOn w:val="5"/>
    <w:qFormat/>
    <w:uiPriority w:val="0"/>
  </w:style>
  <w:style w:type="character" w:customStyle="1" w:styleId="11">
    <w:name w:val="first-child1"/>
    <w:basedOn w:val="5"/>
    <w:qFormat/>
    <w:uiPriority w:val="0"/>
  </w:style>
  <w:style w:type="character" w:customStyle="1" w:styleId="12">
    <w:name w:val="layui-this"/>
    <w:basedOn w:val="5"/>
    <w:qFormat/>
    <w:uiPriority w:val="0"/>
    <w:rPr>
      <w:bdr w:val="single" w:color="EEEEEE" w:sz="4" w:space="0"/>
      <w:shd w:val="clear" w:fill="FFFFFF"/>
    </w:rPr>
  </w:style>
  <w:style w:type="character" w:customStyle="1" w:styleId="13">
    <w:name w:val="first-child"/>
    <w:basedOn w:val="5"/>
    <w:qFormat/>
    <w:uiPriority w:val="0"/>
  </w:style>
  <w:style w:type="character" w:customStyle="1" w:styleId="14">
    <w:name w:val="hover15"/>
    <w:basedOn w:val="5"/>
    <w:qFormat/>
    <w:uiPriority w:val="0"/>
    <w:rPr>
      <w:shd w:val="clear" w:fill="929292"/>
    </w:rPr>
  </w:style>
  <w:style w:type="character" w:customStyle="1" w:styleId="15">
    <w:name w:val="hover"/>
    <w:basedOn w:val="5"/>
    <w:qFormat/>
    <w:uiPriority w:val="0"/>
    <w:rPr>
      <w:shd w:val="clear" w:fill="929292"/>
    </w:rPr>
  </w:style>
  <w:style w:type="character" w:customStyle="1" w:styleId="16">
    <w:name w:val="hover14"/>
    <w:basedOn w:val="5"/>
    <w:qFormat/>
    <w:uiPriority w:val="0"/>
    <w:rPr>
      <w:shd w:val="clear" w:fill="92929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1768</Words>
  <Characters>1824</Characters>
  <Lines>0</Lines>
  <Paragraphs>0</Paragraphs>
  <TotalTime>10</TotalTime>
  <ScaleCrop>false</ScaleCrop>
  <LinksUpToDate>false</LinksUpToDate>
  <CharactersWithSpaces>1824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2023-01-12T00:53:00Z</dcterms:created>
  <dc:creator>扶贫攻坚指挥部</dc:creator>
  <cp:lastModifiedBy>无</cp:lastModifiedBy>
  <dcterms:modified xsi:type="dcterms:W3CDTF">2023-03-16T02:11:29Z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9B52463690094872848C27A78E57BEEA</vt:lpwstr>
  </property>
</Properties>
</file>