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0"/>
        <w:jc w:val="both"/>
        <w:rPr>
          <w:rFonts w:ascii="Calibri" w:hAnsi="Calibri" w:cs="Calibri"/>
          <w:sz w:val="24"/>
          <w:szCs w:val="24"/>
        </w:rPr>
      </w:pPr>
      <w:r>
        <w:rPr>
          <w:rFonts w:ascii="仿宋" w:hAnsi="仿宋" w:eastAsia="仿宋" w:cs="仿宋"/>
          <w:sz w:val="32"/>
          <w:szCs w:val="32"/>
          <w:bdr w:val="none" w:color="auto" w:sz="0" w:space="0"/>
          <w:shd w:val="clear" w:fill="FFFFFF"/>
        </w:rPr>
        <w:t>为全面落实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</w:rPr>
        <w:t>2022年政务公开重点工作任务，大力提升政务公开质量和实效，万载县退役军人事务局按照县人民政府的部署要求，深入落实《中华人民共和国政府信息公开条例》，本报告由总体情况、主动公开政府信息情况、收到的收到和处理政府信息公开申请情况，政府信息公开行政复议和行政诉讼情况、存在的主要问题及改进情况、其他需要报告的事项共六个部分组成，数据统计期限自2022年1月1日起至2022年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</w:rPr>
        <w:t>2022年，我局通过万载县人民政府网、宜春市退役军人事务局官方网站发布工作动态、概括信息、财经信息、年度报告共计76篇。其中国家级11篇，省部级7篇，厅级7篇，市级2篇，局级35篇。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225" w:beforeAutospacing="0" w:after="225" w:afterAutospacing="0" w:line="560" w:lineRule="exact"/>
        <w:ind w:left="0" w:right="0" w:firstLine="600"/>
        <w:jc w:val="left"/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(一)主动公开政府信息情况。我局严格落实信息公开条例，重点公开财政预算、督察督办和问责、重点工作落实情况、建议提案办理等信息。2022年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，退役军人事务局门户网站信息发布政策文件3条。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225" w:beforeAutospacing="0" w:after="225" w:afterAutospacing="0" w:line="560" w:lineRule="exact"/>
        <w:ind w:left="0" w:right="0" w:firstLine="600"/>
        <w:jc w:val="left"/>
      </w:pPr>
      <w:r>
        <w:rPr>
          <w:rFonts w:hint="eastAsia" w:ascii="仿宋_GB2312" w:eastAsia="仿宋_GB2312" w:cs="仿宋_GB2312" w:hAnsiTheme="minorHAnsi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(二)依申请公开情况。2022年度，我局未受理依申请公开政府信息。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225" w:beforeAutospacing="0" w:after="225" w:afterAutospacing="0" w:line="560" w:lineRule="exact"/>
        <w:ind w:left="0" w:right="0" w:firstLine="600"/>
        <w:jc w:val="left"/>
      </w:pPr>
      <w:r>
        <w:rPr>
          <w:rFonts w:hint="eastAsia" w:ascii="仿宋_GB2312" w:eastAsia="仿宋_GB2312" w:cs="仿宋_GB2312" w:hAnsiTheme="minorHAnsi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(三)政府信息管理情况。2022年按照市政府政务公开办要求，一年以来，深⼊推行政务公开工作，把政务工作作为加强党风廉政建设，转变工作作风，狠抓工作落实的重要举措，切实抓紧抓好退役军人服务工作，以公开促工作，以公开树形象，以公开赢民心，收到了良好的社会效果。实行定期检查与不定期抽查相结合，形成用制度规范行为、按制度办事、靠制度管人的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exact"/>
        <w:ind w:left="0" w:right="0" w:firstLine="600" w:firstLineChars="20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</w:rPr>
        <w:t>(四)政府信息公开平台建设情况。万载县退役军人事务局进一步明确信息公开的主体责任，强调公开方式方法、主动公开与依申请公开的具体内容，确保政府信息公开工作及时有效。严格落实信息发布审核、信息公开保密审查等规定，严格遵循“先审批、后发布”“谁发布、谁负责”的原则，对拟公开的政府信息依法依规做好保密审查，加强公开信息的政治把关、涉密把关和舆情把关。进一步健全依申请公开工作机制，加强依申请公开答复的合法性审核，依法依规做好答复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exact"/>
        <w:ind w:left="0" w:right="0" w:firstLine="600" w:firstLineChars="200"/>
        <w:jc w:val="both"/>
      </w:pPr>
      <w:r>
        <w:rPr>
          <w:rFonts w:hint="eastAsia" w:ascii="仿宋_GB2312" w:eastAsia="仿宋_GB2312" w:cs="仿宋_GB2312"/>
          <w:spacing w:val="0"/>
          <w:sz w:val="30"/>
          <w:szCs w:val="30"/>
          <w:bdr w:val="none" w:color="auto" w:sz="0" w:space="0"/>
          <w:shd w:val="clear" w:fill="FFFFFF"/>
        </w:rPr>
        <w:t>(五)监督保障情况。一是安排专人专职负责政务公开工作。二是建立政府信息公开工作情况月通报制度，每月开展找错。三是及时更新政务信息，提升了公开质量和实效。四是责任追究结果方面，我单位2022年未发生政务公开被追究责任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48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</w:rPr>
        <w:t> 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第二十条第（一）项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信息内容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本年制发件数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本年废止件数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现行有效件数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规章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　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行政规范性文件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   0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  0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    0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第二十条第（五）项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信息内容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本年处理决定数量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行政许可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第二十条第（六）项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信息内容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本年处理决定数量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行政处罚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行政强制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第二十条第（八）项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信息内容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本年收费金额（单位：万元）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行政事业性收费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0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48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</w:rPr>
        <w:t xml:space="preserve">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仿宋" w:cs="Calibri"/>
          <w:b/>
          <w:bCs/>
          <w:color w:val="333333"/>
          <w:spacing w:val="0"/>
          <w:sz w:val="32"/>
          <w:szCs w:val="32"/>
          <w:bdr w:val="none" w:color="auto" w:sz="0" w:space="0"/>
        </w:rPr>
        <w:t xml:space="preserve">  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1114"/>
        <w:gridCol w:w="2722"/>
        <w:gridCol w:w="714"/>
        <w:gridCol w:w="714"/>
        <w:gridCol w:w="714"/>
        <w:gridCol w:w="714"/>
        <w:gridCol w:w="714"/>
        <w:gridCol w:w="714"/>
        <w:gridCol w:w="7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48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申请人情况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自然人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法人或其他组织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商业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企业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科研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机构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社会公益组织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法律服务机构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一、本年新收政府信息公开申请数量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0 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二、上年结转政府信息公开申请数量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三、本年度办理结果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（一）予以公开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sz w:val="20"/>
                <w:szCs w:val="20"/>
              </w:rPr>
              <w:t>（区分处理的，只计这一情形，不计其他情形）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（三）不予公开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1.属于国家秘密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2.其他法律行政法规禁止公开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3.危及“三安全一稳定”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4.保护第三方合法权益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5.属于三类内部事务信息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6.属于四类过程性信息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7.属于行政执法案卷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8.属于行政查询事项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（四）无法提供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1.本机关不掌握相关政府信息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2.没有现成信息需要另行制作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3.补正后申请内容仍不明确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（五）不予处理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1.信访举报投诉类申请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2.重复申请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3.要求提供公开出版物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4.无正当理由大量反复申请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5.要求行政机关确认或重新出具已获取信息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（六）其他处理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1.申请人无正当理由逾期不补正、行政机关不再处理其政府信息公开申请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2.申请人逾期未按收费通知要求缴纳费用、行政机关不再处理其政府信息公开申请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3.其他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（七）总计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四、结转下年度继续办理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0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48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48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</w:rPr>
        <w:t xml:space="preserve">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48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pacing w:val="0"/>
          <w:sz w:val="24"/>
          <w:szCs w:val="24"/>
          <w:bdr w:val="none" w:color="auto" w:sz="0" w:space="0"/>
        </w:rPr>
        <w:t xml:space="preserve">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spacing w:val="0"/>
          <w:sz w:val="32"/>
          <w:szCs w:val="32"/>
          <w:bdr w:val="none" w:color="auto" w:sz="0" w:space="0"/>
        </w:rPr>
        <w:t>四、政府信息公开行政复议、行政诉讼情况</w:t>
      </w:r>
      <w:r>
        <w:rPr>
          <w:rFonts w:hint="eastAsia" w:ascii="仿宋" w:hAnsi="仿宋" w:eastAsia="仿宋" w:cs="仿宋"/>
          <w:color w:val="333333"/>
          <w:spacing w:val="0"/>
          <w:sz w:val="32"/>
          <w:szCs w:val="32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48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</w:rPr>
        <w:t> </w:t>
      </w:r>
    </w:p>
    <w:tbl>
      <w:tblPr>
        <w:tblpPr w:leftFromText="180" w:rightFromText="180" w:vertAnchor="text" w:horzAnchor="page" w:tblpX="100" w:tblpY="313"/>
        <w:tblOverlap w:val="never"/>
        <w:tblW w:w="213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117"/>
        <w:gridCol w:w="988"/>
        <w:gridCol w:w="988"/>
        <w:gridCol w:w="1717"/>
        <w:gridCol w:w="1636"/>
        <w:gridCol w:w="1474"/>
        <w:gridCol w:w="1522"/>
        <w:gridCol w:w="1571"/>
        <w:gridCol w:w="2041"/>
        <w:gridCol w:w="1150"/>
        <w:gridCol w:w="1150"/>
        <w:gridCol w:w="1247"/>
        <w:gridCol w:w="1263"/>
        <w:gridCol w:w="22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5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行政复议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419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行政诉讼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 维持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 纠正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 结果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 审结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6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未经复议直接起诉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3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复议后起诉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结果维持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结果纠正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其他结果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尚未审结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结果维持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结果纠正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其他结果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尚未审结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0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1"/>
          <w:szCs w:val="21"/>
          <w:bdr w:val="none" w:color="auto" w:sz="0" w:space="0"/>
          <w:shd w:val="clear" w:fill="FFFFFF"/>
        </w:rPr>
        <w:t>  </w:t>
      </w:r>
      <w:r>
        <w:rPr>
          <w:rFonts w:hint="eastAsia" w:ascii="黑体" w:hAnsi="宋体" w:eastAsia="黑体" w:cs="黑体"/>
          <w:spacing w:val="0"/>
          <w:sz w:val="31"/>
          <w:szCs w:val="31"/>
          <w:bdr w:val="none" w:color="auto" w:sz="0" w:space="0"/>
          <w:shd w:val="clear" w:fill="FFFFFF"/>
        </w:rPr>
        <w:t>五、存在主要问题及下步整改措施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2022年，我局政府信息公开工作虽然取得了一定成效，但是对照《江西省人民政府办公厅关于印发2022年度综合考核政务公开工作指标计分细则的通知》还有一定的差距，一是信息公开载体比较少，下步要建立健全规范性文件等政策文件动态更新工作，按照集中公开要求及时公开；二是政务动态信息时有更新不及时的现象；三是政务公开信息具体操作人员对业务技能知识有待进一步增强。四是加强“指尖上的形式主义”监督和治理，强化政务新媒体管理，落实好政府系统政务新媒体分级备案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我局将</w:t>
      </w:r>
      <w:r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shd w:val="clear" w:fill="FFFFFF"/>
        </w:rPr>
        <w:t>进一步提升政务公开质量和实效</w:t>
      </w: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以“以公开促工作，以公开树形象，以公开赢民心”的原则，以门户网站为信息公开平台主要载体，及时、主动向社会公开我局工作动态等相关工作。加大重大行政决策事项公众参与，决策事项面向企业群众公开征求意见，加强与新闻媒体的有效沟通和良性互动，高效规范办理政府信息依申请公开各项工作内容，对上级检查反馈的问题，做到及时规范整改，举一反三，不断提升公开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0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2022年我局未收取任何政府信息公开处理费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                           万载县退役军人事务局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                              2023年1月6日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zJkNjA2NDc1MDliMTQwMjMyNTE1MWVmZTlkZDEifQ=="/>
  </w:docVars>
  <w:rsids>
    <w:rsidRoot w:val="00000000"/>
    <w:rsid w:val="131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2024-04-09T09:31:43Z</dcterms:created>
  <dc:creator>Lenovo</dc:creator>
  <cp:lastModifiedBy>柚橙子</cp:lastModifiedBy>
  <dcterms:modified xsi:type="dcterms:W3CDTF">2024-04-09T09:32:13Z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7CCD5A3C4AF5491595DC064F95074AE2_12</vt:lpwstr>
  </property>
</Properties>
</file>