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附件5</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万载县归国华侨联合会</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部门整体支出绩效自评报告</w:t>
      </w:r>
    </w:p>
    <w:p>
      <w:pPr>
        <w:spacing w:line="560" w:lineRule="exact"/>
        <w:jc w:val="center"/>
        <w:rPr>
          <w:rFonts w:hint="eastAsia" w:ascii="楷体_GB2312" w:eastAsia="楷体_GB2312"/>
          <w:sz w:val="32"/>
          <w:szCs w:val="32"/>
        </w:rPr>
      </w:pPr>
      <w:r>
        <w:rPr>
          <w:rFonts w:hint="eastAsia" w:ascii="楷体_GB2312" w:eastAsia="楷体_GB2312"/>
          <w:sz w:val="32"/>
          <w:szCs w:val="32"/>
        </w:rPr>
        <w:t>（2021年度）</w:t>
      </w:r>
    </w:p>
    <w:p>
      <w:pPr>
        <w:spacing w:line="560" w:lineRule="exact"/>
        <w:jc w:val="center"/>
        <w:rPr>
          <w:rFonts w:hint="eastAsia" w:ascii="仿宋" w:hAnsi="仿宋" w:eastAsia="仿宋"/>
        </w:rPr>
      </w:pPr>
      <w:r>
        <w:rPr>
          <w:rFonts w:hint="eastAsia" w:ascii="仿宋" w:hAnsi="仿宋" w:eastAsia="仿宋"/>
        </w:rPr>
        <w:t xml:space="preserve"> </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一、部门概况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部门主要职责职能</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（1）负责联络、协调、沟通归侨、侨眷和海外侨胞，组织、开展各类联谊活动。</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（2）积极参政议政，反映归侨、侨眷和海外侨胞的意见和要求，参与政治协商，发挥民主监督作用，促进社会主义民主与法制建设。</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根据《中华人民共和国归侨侨眷权益保护法》，依法维护归侨、侨眷和海外侨胞在国内的合法权益，为归侨、侨眷和海外侨胞提供法律咨询和服务；做好群众来信来访工作，协助向有关部门反映情况，督促落实有关侨务政策法规。</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负责为海内外侨胞提供探亲访友、寻根问祖、观光旅游、疗养治病、进修讲学、出国留学等方面的服务；做好对外联络接待工作。发挥侨联人民团体的优势，以民间、归侨侨眷身份实施“走出去、请进来”，加强与海外社团和重点人物的联系；积极做好新侨民和新生代及其眷属工作。</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（5）积极引进华侨、华人、港澳同胞的资金、技术和人才，引导和协助海外侨胞回乡兴办公益事业；指导和扶持归侨、侨眷兴办企业。</w:t>
      </w:r>
    </w:p>
    <w:p>
      <w:pPr>
        <w:ind w:firstLine="472" w:firstLineChars="147"/>
        <w:rPr>
          <w:rFonts w:hint="eastAsia"/>
        </w:rPr>
      </w:pPr>
      <w:r>
        <w:rPr>
          <w:rFonts w:hint="eastAsia" w:ascii="仿宋_GB2312" w:hAnsi="宋体" w:eastAsia="仿宋_GB2312" w:cs="宋体"/>
          <w:b/>
          <w:kern w:val="0"/>
          <w:sz w:val="32"/>
          <w:szCs w:val="32"/>
        </w:rPr>
        <w:t>2.机构设置及人员情况：</w:t>
      </w:r>
      <w:r>
        <w:rPr>
          <w:rFonts w:hint="eastAsia" w:ascii="仿宋_GB2312" w:eastAsia="仿宋_GB2312"/>
          <w:sz w:val="32"/>
          <w:szCs w:val="32"/>
        </w:rPr>
        <w:t>万载县侨联共有预算单位1个，编制人数3人，其中：行政编制3人。</w:t>
      </w:r>
      <w:r>
        <w:rPr>
          <w:rFonts w:hint="eastAsia" w:ascii="仿宋_GB2312" w:eastAsia="仿宋_GB2312"/>
          <w:kern w:val="0"/>
          <w:sz w:val="30"/>
          <w:szCs w:val="30"/>
        </w:rPr>
        <w:t>在职人员3人，其中：副科2人、科员1人。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（二）当年部门履职总体目标、工作任务。</w:t>
      </w:r>
    </w:p>
    <w:p>
      <w:pPr>
        <w:spacing w:line="592"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万载县侨联坚持以</w:t>
      </w:r>
      <w:bookmarkStart w:id="0" w:name="_GoBack"/>
      <w:bookmarkEnd w:id="0"/>
      <w:r>
        <w:rPr>
          <w:rFonts w:hint="eastAsia" w:ascii="仿宋_GB2312" w:hAnsi="仿宋" w:eastAsia="仿宋_GB2312" w:cs="仿宋"/>
          <w:sz w:val="32"/>
          <w:szCs w:val="32"/>
          <w:lang w:eastAsia="zh-CN"/>
        </w:rPr>
        <w:t>习近平新时代中国特色社会主义思想</w:t>
      </w:r>
      <w:r>
        <w:rPr>
          <w:rFonts w:hint="eastAsia" w:ascii="仿宋_GB2312" w:hAnsi="仿宋" w:eastAsia="仿宋_GB2312" w:cs="仿宋"/>
          <w:sz w:val="32"/>
          <w:szCs w:val="32"/>
        </w:rPr>
        <w:t>为指导，在县委、县政府的坚强领导和上级侨联指导下，加强党的建设，强化政治引领，紧紧围绕履行服务经济发展、依法维护侨益、拓展海外联谊、积极参政议政、弘扬中华文化、参与社会建设职能，坚持“两个”并重、“两个”拓展，凝聚侨心、汇集侨智、发挥侨力、维护侨益，开拓创新，积极主动、扎实工作，为万载建设作出应有贡献。</w:t>
      </w:r>
    </w:p>
    <w:p>
      <w:pPr>
        <w:spacing w:line="592" w:lineRule="exact"/>
        <w:ind w:firstLine="642" w:firstLineChars="200"/>
        <w:rPr>
          <w:rFonts w:hint="eastAsia" w:ascii="仿宋_GB2312" w:hAnsi="仿宋" w:eastAsia="仿宋_GB2312" w:cs="仿宋"/>
          <w:sz w:val="32"/>
          <w:szCs w:val="32"/>
        </w:rPr>
      </w:pPr>
      <w:r>
        <w:rPr>
          <w:rFonts w:hint="eastAsia" w:ascii="仿宋_GB2312" w:hAnsi="宋体" w:eastAsia="仿宋_GB2312" w:cs="宋体"/>
          <w:b/>
          <w:kern w:val="0"/>
          <w:sz w:val="32"/>
          <w:szCs w:val="32"/>
        </w:rPr>
        <w:t>工作任务：</w:t>
      </w:r>
      <w:r>
        <w:rPr>
          <w:rFonts w:hint="eastAsia" w:ascii="仿宋_GB2312" w:hAnsi="仿宋" w:eastAsia="仿宋_GB2312" w:cs="仿宋"/>
          <w:bCs/>
          <w:sz w:val="32"/>
          <w:szCs w:val="32"/>
        </w:rPr>
        <w:t>充分</w:t>
      </w:r>
      <w:r>
        <w:rPr>
          <w:rFonts w:hint="eastAsia" w:ascii="仿宋_GB2312" w:hAnsi="仿宋" w:eastAsia="仿宋_GB2312"/>
          <w:kern w:val="0"/>
          <w:sz w:val="32"/>
          <w:szCs w:val="32"/>
        </w:rPr>
        <w:t>利用侨联、旅加侨友联谊会的自身优势，加大海外引才力度，以归国留学人员创新创业为主要方向，推动海归人才创业、引才引智，</w:t>
      </w:r>
      <w:r>
        <w:rPr>
          <w:rFonts w:hint="eastAsia" w:ascii="仿宋_GB2312" w:hAnsi="仿宋" w:eastAsia="仿宋_GB2312" w:cs="仿宋"/>
          <w:sz w:val="32"/>
          <w:szCs w:val="32"/>
        </w:rPr>
        <w:t>进一步利用旅加侨友联谊会、侨胞之家等平台，</w:t>
      </w:r>
      <w:r>
        <w:rPr>
          <w:rFonts w:hint="eastAsia" w:ascii="仿宋_GB2312" w:hAnsi="仿宋" w:eastAsia="仿宋_GB2312"/>
          <w:sz w:val="32"/>
          <w:szCs w:val="32"/>
        </w:rPr>
        <w:t>为华人华侨和留学人员来万载发展提供更大的空间平台。</w:t>
      </w:r>
      <w:r>
        <w:rPr>
          <w:rFonts w:hint="eastAsia" w:ascii="仿宋_GB2312" w:hAnsi="仿宋" w:eastAsia="仿宋_GB2312" w:cs="仿宋"/>
          <w:sz w:val="32"/>
          <w:szCs w:val="32"/>
        </w:rPr>
        <w:t>深入侨资侨属企业调查研究，了解情况，积极帮助他们解决实际工作和生活中遇到的困难。计划本年度与县工商联共同举办一期侨资侨属企业家培训班，通过培训班，让广大侨商侨属知晓文件，学习文件，通过法治手段维护自身合法权益，在社会中形成“爱侨”、“护侨”的浓厚氛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（三）当年部门年度整体支出绩效目标。</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一是坚持以经济发展为中心，整合侨智侨力，服务发展能力不断提高。</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二是坚持以联络联谊为关键，加大沟通交流，友谊成果不断巩固。</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三是坚持以维侨护侨为抓手，夯实服务基础，侨权侨益得到有效保障。</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四是坚持以社会公益为重点，实施扶贫帮困，侨爱侨心广泛传播。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（四）部门预算绩效管理开展情况。</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部门严格按照财政局关于开展绩效评价工作的相关要求，按照2021年工作目标任务分解，研究制定了单位的中心工作，并且分配到相关的业务科室，明确了责任领导、责任人和推进时限，确保各项工作任务顺利完成。根据预算绩效管理要求，我会对部门整体支出绩效开展了自评，自评覆盖率达到了100%。绩效自评结果显示，我会2021年度部门整体支出绩效目标完成较好，无论从预算的编制、执行、监督、履职产出及履职效果上，都达到了预定的目标，为全县工商联工作再上新台阶起到了积极的推动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（五）当年部门预算及执行情况。</w:t>
      </w:r>
    </w:p>
    <w:p>
      <w:pPr>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收入支出预算安排情况</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2021年万载县</w:t>
      </w:r>
      <w:r>
        <w:rPr>
          <w:rFonts w:hint="eastAsia" w:ascii="仿宋_GB2312" w:hAnsi="宋体" w:eastAsia="仿宋_GB2312" w:cs="宋体"/>
          <w:color w:val="000000"/>
          <w:kern w:val="0"/>
          <w:sz w:val="32"/>
          <w:szCs w:val="32"/>
        </w:rPr>
        <w:t>侨联</w:t>
      </w:r>
      <w:r>
        <w:rPr>
          <w:rFonts w:hint="eastAsia" w:ascii="仿宋_GB2312" w:hAnsi="宋体" w:eastAsia="仿宋_GB2312" w:cs="宋体"/>
          <w:kern w:val="0"/>
          <w:sz w:val="32"/>
          <w:szCs w:val="32"/>
        </w:rPr>
        <w:t>收入预算总额为36.47万元，</w:t>
      </w:r>
      <w:r>
        <w:rPr>
          <w:rFonts w:hint="eastAsia" w:ascii="仿宋_GB2312" w:hAnsi="宋体" w:eastAsia="仿宋_GB2312" w:cs="宋体"/>
          <w:color w:val="000000"/>
          <w:kern w:val="0"/>
          <w:sz w:val="32"/>
          <w:szCs w:val="32"/>
        </w:rPr>
        <w:t>较上年预算安排减少0.73万元，</w:t>
      </w:r>
      <w:r>
        <w:rPr>
          <w:rFonts w:hint="eastAsia" w:ascii="仿宋_GB2312" w:hAnsi="宋体" w:eastAsia="仿宋_GB2312" w:cs="宋体"/>
          <w:kern w:val="0"/>
          <w:sz w:val="32"/>
          <w:szCs w:val="32"/>
        </w:rPr>
        <w:t>其中：财政拨款收入36.47万元，占收入预算总额的100%，</w:t>
      </w:r>
      <w:r>
        <w:rPr>
          <w:rFonts w:hint="eastAsia" w:ascii="仿宋_GB2312" w:hAnsi="宋体" w:eastAsia="仿宋_GB2312" w:cs="宋体"/>
          <w:color w:val="000000"/>
          <w:kern w:val="0"/>
          <w:sz w:val="32"/>
          <w:szCs w:val="32"/>
        </w:rPr>
        <w:t>其中：</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按支出项目类别划分：基本支出28.91万元，占支出预算总额的79.27%，</w:t>
      </w:r>
      <w:r>
        <w:rPr>
          <w:rFonts w:hint="eastAsia" w:ascii="仿宋_GB2312" w:hAnsi="宋体" w:eastAsia="仿宋_GB2312" w:cs="宋体"/>
          <w:color w:val="000000"/>
          <w:kern w:val="0"/>
          <w:sz w:val="32"/>
          <w:szCs w:val="32"/>
        </w:rPr>
        <w:t>较上年预算安排减少0.62万元，</w:t>
      </w:r>
      <w:r>
        <w:rPr>
          <w:rFonts w:hint="eastAsia" w:ascii="仿宋_GB2312" w:hAnsi="宋体" w:eastAsia="仿宋_GB2312" w:cs="宋体"/>
          <w:kern w:val="0"/>
          <w:sz w:val="32"/>
          <w:szCs w:val="32"/>
        </w:rPr>
        <w:t>包括工资福利支出25.14万元、商品和服务支出3.77万元；项目支出7.56万元，占支出预算总额的20.73%，</w:t>
      </w:r>
      <w:r>
        <w:rPr>
          <w:rFonts w:hint="eastAsia" w:ascii="仿宋_GB2312" w:hAnsi="宋体" w:eastAsia="仿宋_GB2312" w:cs="宋体"/>
          <w:color w:val="000000"/>
          <w:kern w:val="0"/>
          <w:sz w:val="32"/>
          <w:szCs w:val="32"/>
        </w:rPr>
        <w:t>较上年预算安排减少0.11万元，</w:t>
      </w:r>
      <w:r>
        <w:rPr>
          <w:rFonts w:hint="eastAsia" w:ascii="仿宋_GB2312" w:hAnsi="宋体" w:eastAsia="仿宋_GB2312" w:cs="宋体"/>
          <w:kern w:val="0"/>
          <w:sz w:val="32"/>
          <w:szCs w:val="32"/>
        </w:rPr>
        <w:t>包括工资福利支出2万元、商品和服务支出5.56万元。</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二、部门整体支出绩效实现情况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（一）履职完成情况：</w:t>
      </w:r>
    </w:p>
    <w:p>
      <w:pPr>
        <w:ind w:firstLine="672" w:firstLineChars="200"/>
        <w:rPr>
          <w:rFonts w:ascii="仿宋" w:hAnsi="仿宋" w:eastAsia="仿宋" w:cs="仿宋"/>
          <w:sz w:val="32"/>
          <w:szCs w:val="32"/>
        </w:rPr>
      </w:pPr>
      <w:r>
        <w:rPr>
          <w:rFonts w:hint="eastAsia" w:ascii="仿宋" w:hAnsi="仿宋" w:eastAsia="仿宋" w:cs="仿宋"/>
          <w:b/>
          <w:bCs/>
          <w:spacing w:val="8"/>
          <w:kern w:val="0"/>
          <w:sz w:val="32"/>
          <w:szCs w:val="32"/>
          <w:shd w:val="clear" w:color="auto" w:fill="FFFFFF"/>
          <w:lang w:val="en-US" w:eastAsia="zh-CN" w:bidi="ar"/>
        </w:rPr>
        <w:t>1、</w:t>
      </w:r>
      <w:r>
        <w:rPr>
          <w:rFonts w:hint="eastAsia" w:ascii="仿宋" w:hAnsi="仿宋" w:eastAsia="仿宋" w:cs="仿宋"/>
          <w:b/>
          <w:bCs/>
          <w:spacing w:val="8"/>
          <w:kern w:val="0"/>
          <w:sz w:val="32"/>
          <w:szCs w:val="32"/>
          <w:shd w:val="clear" w:color="auto" w:fill="FFFFFF"/>
          <w:lang w:bidi="ar"/>
        </w:rPr>
        <w:t>认真开展党史学习教育。</w:t>
      </w:r>
      <w:r>
        <w:rPr>
          <w:rFonts w:hint="eastAsia" w:ascii="仿宋" w:hAnsi="仿宋" w:eastAsia="仿宋" w:cs="仿宋"/>
          <w:color w:val="000000"/>
          <w:spacing w:val="12"/>
          <w:sz w:val="32"/>
          <w:szCs w:val="32"/>
          <w:shd w:val="clear" w:color="auto" w:fill="FFFFFF"/>
        </w:rPr>
        <w:t>全体机关干部根据党史学习教育计划安排，坚持以集中学习、自学相结合认真学习，并撰写心得体会。同时，教育引导侨界群众学好党史、新中国史、改革开放史、社会主义发展史</w:t>
      </w:r>
      <w:r>
        <w:rPr>
          <w:rFonts w:hint="eastAsia" w:ascii="仿宋" w:hAnsi="仿宋" w:eastAsia="仿宋" w:cs="仿宋"/>
          <w:color w:val="000000"/>
          <w:spacing w:val="12"/>
          <w:sz w:val="32"/>
          <w:szCs w:val="32"/>
          <w:shd w:val="clear" w:color="auto" w:fill="FFFFFF"/>
          <w:lang w:eastAsia="zh-CN"/>
        </w:rPr>
        <w:t>。</w:t>
      </w:r>
    </w:p>
    <w:p>
      <w:pPr>
        <w:ind w:firstLine="640" w:firstLineChars="200"/>
        <w:rPr>
          <w:rFonts w:ascii="仿宋" w:hAnsi="仿宋" w:eastAsia="仿宋" w:cs="仿宋"/>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、持续做好侨界志愿者服务队工作。</w:t>
      </w:r>
      <w:r>
        <w:rPr>
          <w:rFonts w:hint="eastAsia" w:ascii="仿宋" w:hAnsi="仿宋" w:eastAsia="仿宋"/>
          <w:sz w:val="32"/>
          <w:szCs w:val="32"/>
        </w:rPr>
        <w:t>县侨联组织侨界志愿者服务队一行，到边远山区茭湖乡、仙源乡开展了党史学习教育“我为群众办实事”义诊活动。</w:t>
      </w:r>
    </w:p>
    <w:p>
      <w:pPr>
        <w:ind w:firstLine="640" w:firstLineChars="200"/>
        <w:rPr>
          <w:rFonts w:ascii="仿宋" w:hAnsi="仿宋" w:eastAsia="仿宋" w:cs="仿宋"/>
          <w:sz w:val="32"/>
          <w:szCs w:val="32"/>
        </w:rPr>
      </w:pPr>
      <w:r>
        <w:rPr>
          <w:rFonts w:hint="eastAsia" w:ascii="仿宋" w:hAnsi="仿宋" w:eastAsia="仿宋"/>
          <w:sz w:val="32"/>
          <w:szCs w:val="32"/>
          <w:lang w:val="en-US" w:eastAsia="zh-CN"/>
        </w:rPr>
        <w:t>3</w:t>
      </w:r>
      <w:r>
        <w:rPr>
          <w:rFonts w:hint="eastAsia" w:ascii="仿宋" w:hAnsi="仿宋" w:eastAsia="仿宋" w:cs="仿宋"/>
          <w:b/>
          <w:bCs/>
          <w:spacing w:val="8"/>
          <w:sz w:val="32"/>
          <w:szCs w:val="32"/>
          <w:shd w:val="clear" w:color="auto" w:fill="FFFFFF"/>
        </w:rPr>
        <w:t>、</w:t>
      </w:r>
      <w:r>
        <w:rPr>
          <w:rFonts w:hint="eastAsia" w:ascii="仿宋" w:hAnsi="仿宋" w:eastAsia="仿宋" w:cs="仿宋"/>
          <w:b/>
          <w:bCs/>
          <w:sz w:val="32"/>
          <w:szCs w:val="32"/>
        </w:rPr>
        <w:t>竭诚服务侨资企业。</w:t>
      </w:r>
      <w:r>
        <w:rPr>
          <w:rFonts w:hint="eastAsia" w:ascii="仿宋" w:hAnsi="仿宋" w:eastAsia="仿宋" w:cs="仿宋"/>
          <w:sz w:val="32"/>
          <w:szCs w:val="32"/>
          <w:shd w:val="clear" w:color="auto" w:fill="FFFFFF"/>
        </w:rPr>
        <w:t>建立侨企结对帮扶机制，一对一服务联系侨资企业，日常跟踪，常态服务，致力于帮助侨企解决生产中遇到的各种困难。</w:t>
      </w:r>
    </w:p>
    <w:p>
      <w:pPr>
        <w:widowControl/>
        <w:shd w:val="clear" w:color="auto" w:fill="FFFFFF"/>
        <w:ind w:firstLine="640" w:firstLineChars="200"/>
        <w:jc w:val="left"/>
        <w:rPr>
          <w:rFonts w:ascii="仿宋" w:hAnsi="仿宋" w:eastAsia="仿宋" w:cs="仿宋"/>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、举办首届侨眷技能培训班。</w:t>
      </w:r>
      <w:r>
        <w:rPr>
          <w:rFonts w:hint="eastAsia" w:ascii="仿宋" w:hAnsi="仿宋" w:eastAsia="仿宋" w:cs="仿宋"/>
          <w:sz w:val="32"/>
          <w:szCs w:val="32"/>
        </w:rPr>
        <w:t>今年，全县首届归侨侨眷综合技能培训班在万载古城侨胞之家开班，</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共有50多名来自全县各个社区的归侨侨眷参加，</w:t>
      </w:r>
      <w:r>
        <w:rPr>
          <w:rFonts w:ascii="仿宋" w:hAnsi="仿宋" w:eastAsia="仿宋" w:cs="仿宋"/>
          <w:color w:val="000000" w:themeColor="text1"/>
          <w:kern w:val="0"/>
          <w:sz w:val="32"/>
          <w:szCs w:val="32"/>
          <w:shd w:val="clear" w:color="auto" w:fill="FFFFFF"/>
          <w:lang w:bidi="ar"/>
          <w14:textFill>
            <w14:solidFill>
              <w14:schemeClr w14:val="tx1"/>
            </w14:solidFill>
          </w14:textFill>
        </w:rPr>
        <w:t>培训结束后，颁发</w:t>
      </w:r>
      <w:r>
        <w:rPr>
          <w:rFonts w:hint="eastAsia" w:ascii="仿宋" w:hAnsi="仿宋" w:eastAsia="仿宋" w:cs="仿宋"/>
          <w:color w:val="000000" w:themeColor="text1"/>
          <w:kern w:val="0"/>
          <w:sz w:val="32"/>
          <w:szCs w:val="32"/>
          <w:shd w:val="clear" w:color="auto" w:fill="FFFFFF"/>
          <w:lang w:bidi="ar"/>
          <w14:textFill>
            <w14:solidFill>
              <w14:schemeClr w14:val="tx1"/>
            </w14:solidFill>
          </w14:textFill>
        </w:rPr>
        <w:t>了</w:t>
      </w:r>
      <w:r>
        <w:rPr>
          <w:rFonts w:ascii="仿宋" w:hAnsi="仿宋" w:eastAsia="仿宋" w:cs="仿宋"/>
          <w:color w:val="000000" w:themeColor="text1"/>
          <w:kern w:val="0"/>
          <w:sz w:val="32"/>
          <w:szCs w:val="32"/>
          <w:shd w:val="clear" w:color="auto" w:fill="FFFFFF"/>
          <w:lang w:bidi="ar"/>
          <w14:textFill>
            <w14:solidFill>
              <w14:schemeClr w14:val="tx1"/>
            </w14:solidFill>
          </w14:textFill>
        </w:rPr>
        <w:t>相应的职业资格证书，并推荐就业。</w:t>
      </w:r>
    </w:p>
    <w:p>
      <w:pPr>
        <w:widowControl/>
        <w:shd w:val="clear" w:color="auto" w:fill="FFFFFF"/>
        <w:ind w:firstLine="640" w:firstLineChars="200"/>
        <w:jc w:val="left"/>
        <w:rPr>
          <w:rFonts w:ascii="仿宋" w:hAnsi="仿宋" w:eastAsia="仿宋" w:cs="仿宋"/>
          <w:b/>
          <w:bCs/>
          <w:color w:val="000000" w:themeColor="text1"/>
          <w:kern w:val="0"/>
          <w:sz w:val="32"/>
          <w:szCs w:val="32"/>
          <w:shd w:val="clear" w:color="auto" w:fill="FFFFFF"/>
          <w:lang w:bidi="ar"/>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val="en-US" w:eastAsia="zh-CN" w:bidi="ar"/>
          <w14:textFill>
            <w14:solidFill>
              <w14:schemeClr w14:val="tx1"/>
            </w14:solidFill>
          </w14:textFill>
        </w:rPr>
        <w:t>5</w:t>
      </w:r>
      <w:r>
        <w:rPr>
          <w:rFonts w:hint="eastAsia" w:ascii="仿宋" w:hAnsi="仿宋" w:eastAsia="仿宋" w:cs="仿宋"/>
          <w:b/>
          <w:bCs/>
          <w:color w:val="000000" w:themeColor="text1"/>
          <w:kern w:val="0"/>
          <w:sz w:val="32"/>
          <w:szCs w:val="32"/>
          <w:shd w:val="clear" w:color="auto" w:fill="FFFFFF"/>
          <w:lang w:bidi="ar"/>
          <w14:textFill>
            <w14:solidFill>
              <w14:schemeClr w14:val="tx1"/>
            </w14:solidFill>
          </w14:textFill>
        </w:rPr>
        <w:t>、新建侨胞之家。</w:t>
      </w:r>
      <w:r>
        <w:rPr>
          <w:rFonts w:hint="eastAsia" w:ascii="仿宋" w:hAnsi="仿宋" w:eastAsia="仿宋"/>
          <w:sz w:val="32"/>
          <w:szCs w:val="32"/>
        </w:rPr>
        <w:t>我们新建了万载古城侨胞之家，</w:t>
      </w:r>
      <w:r>
        <w:rPr>
          <w:rFonts w:hint="eastAsia" w:ascii="仿宋" w:hAnsi="仿宋" w:eastAsia="仿宋" w:cs="仿宋"/>
          <w:color w:val="000000"/>
          <w:sz w:val="32"/>
          <w:szCs w:val="32"/>
        </w:rPr>
        <w:t>总面积9</w:t>
      </w:r>
      <w:r>
        <w:rPr>
          <w:rFonts w:ascii="仿宋" w:hAnsi="仿宋" w:eastAsia="仿宋" w:cs="仿宋"/>
          <w:color w:val="000000"/>
          <w:sz w:val="32"/>
          <w:szCs w:val="32"/>
        </w:rPr>
        <w:t>00</w:t>
      </w:r>
      <w:r>
        <w:rPr>
          <w:rFonts w:hint="eastAsia" w:ascii="仿宋" w:hAnsi="仿宋" w:eastAsia="仿宋" w:cs="仿宋"/>
          <w:color w:val="000000"/>
          <w:sz w:val="32"/>
          <w:szCs w:val="32"/>
        </w:rPr>
        <w:t>多平方米，是一个集住宿餐饮、活动场所为一体的综合性的“家”，并在侨胞之家开展了书画沙龙、茶艺品鉴、技能培训等多种活动。</w:t>
      </w:r>
    </w:p>
    <w:p>
      <w:pPr>
        <w:ind w:firstLine="672" w:firstLineChars="200"/>
        <w:rPr>
          <w:rFonts w:ascii="仿宋" w:hAnsi="仿宋" w:eastAsia="仿宋" w:cs="仿宋"/>
          <w:sz w:val="32"/>
          <w:szCs w:val="32"/>
        </w:rPr>
      </w:pPr>
      <w:r>
        <w:rPr>
          <w:rFonts w:hint="eastAsia" w:ascii="仿宋" w:hAnsi="仿宋" w:eastAsia="仿宋" w:cs="仿宋"/>
          <w:b/>
          <w:bCs/>
          <w:spacing w:val="8"/>
          <w:kern w:val="0"/>
          <w:sz w:val="32"/>
          <w:szCs w:val="32"/>
          <w:shd w:val="clear" w:color="auto" w:fill="FFFFFF"/>
          <w:lang w:val="en-US" w:eastAsia="zh-CN" w:bidi="ar"/>
        </w:rPr>
        <w:t>6</w:t>
      </w:r>
      <w:r>
        <w:rPr>
          <w:rFonts w:hint="eastAsia" w:ascii="仿宋" w:hAnsi="仿宋" w:eastAsia="仿宋" w:cs="仿宋"/>
          <w:b/>
          <w:bCs/>
          <w:spacing w:val="8"/>
          <w:kern w:val="0"/>
          <w:sz w:val="32"/>
          <w:szCs w:val="32"/>
          <w:shd w:val="clear" w:color="auto" w:fill="FFFFFF"/>
          <w:lang w:bidi="ar"/>
        </w:rPr>
        <w:t>、走访慰问海外侨胞、港澳台胞</w:t>
      </w:r>
      <w:r>
        <w:rPr>
          <w:rFonts w:hint="eastAsia" w:ascii="仿宋" w:hAnsi="仿宋" w:eastAsia="仿宋" w:cs="仿宋"/>
          <w:spacing w:val="8"/>
          <w:kern w:val="0"/>
          <w:sz w:val="32"/>
          <w:szCs w:val="32"/>
          <w:shd w:val="clear" w:color="auto" w:fill="FFFFFF"/>
          <w:lang w:bidi="ar"/>
        </w:rPr>
        <w:t>。</w:t>
      </w:r>
      <w:r>
        <w:rPr>
          <w:rFonts w:hint="eastAsia" w:ascii="仿宋" w:hAnsi="仿宋" w:eastAsia="仿宋" w:cs="仿宋"/>
          <w:sz w:val="32"/>
          <w:szCs w:val="32"/>
        </w:rPr>
        <w:t>深入全县17个乡镇走访慰问侨眷侨属。送去慰问物资，并向他们转达了党和政府对侨眷侨属的关心和问候。</w:t>
      </w:r>
    </w:p>
    <w:p>
      <w:pPr>
        <w:ind w:firstLine="672" w:firstLineChars="200"/>
        <w:rPr>
          <w:rFonts w:hint="eastAsia"/>
        </w:rPr>
      </w:pPr>
      <w:r>
        <w:rPr>
          <w:rFonts w:hint="eastAsia" w:ascii="仿宋" w:hAnsi="仿宋" w:eastAsia="仿宋" w:cs="仿宋"/>
          <w:b/>
          <w:bCs/>
          <w:spacing w:val="8"/>
          <w:kern w:val="0"/>
          <w:sz w:val="32"/>
          <w:szCs w:val="32"/>
          <w:shd w:val="clear" w:color="auto" w:fill="FFFFFF"/>
          <w:lang w:val="en-US" w:eastAsia="zh-CN" w:bidi="ar"/>
        </w:rPr>
        <w:t>7、聚焦中心大局，凝聚侨界力量。</w:t>
      </w:r>
      <w:r>
        <w:rPr>
          <w:rFonts w:hint="eastAsia" w:ascii="仿宋" w:hAnsi="仿宋" w:eastAsia="仿宋" w:cs="仿宋"/>
          <w:b/>
          <w:bCs/>
          <w:sz w:val="32"/>
          <w:szCs w:val="32"/>
        </w:rPr>
        <w:t>一是</w:t>
      </w:r>
      <w:r>
        <w:rPr>
          <w:rFonts w:hint="eastAsia" w:ascii="仿宋" w:hAnsi="仿宋" w:eastAsia="仿宋" w:cs="仿宋"/>
          <w:sz w:val="32"/>
          <w:szCs w:val="32"/>
        </w:rPr>
        <w:t>助力巩固拓展脱贫攻坚成果同乡村振兴有效衔接。11月17日上午，万载县侨联组织侨界志愿者服务队和部分爱心侨资企业家，来到“红色革命圣地”仙源乡开展社会公益活动。</w:t>
      </w:r>
      <w:r>
        <w:rPr>
          <w:rFonts w:hint="eastAsia" w:ascii="仿宋" w:hAnsi="仿宋" w:eastAsia="仿宋" w:cs="仿宋"/>
          <w:b/>
          <w:bCs/>
          <w:sz w:val="32"/>
          <w:szCs w:val="32"/>
        </w:rPr>
        <w:t>二是</w:t>
      </w:r>
      <w:r>
        <w:rPr>
          <w:rFonts w:hint="eastAsia" w:ascii="仿宋" w:hAnsi="仿宋" w:eastAsia="仿宋" w:cs="仿宋"/>
          <w:sz w:val="32"/>
          <w:szCs w:val="32"/>
        </w:rPr>
        <w:t>积极参与县棚户区改造工作，经过不懈努力，我会靠前有质量地完成县委县政府交办的棚改任务。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（二）履职效果情况：社会效益上我会在近几年主要围绕提高侨眷幸福指数、侨权侨益上下功夫，也得到了预期效果，侨爱侨心得到了广泛传递延续，同时也不断提高了我会的服务能力。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（三）社会满意度97.6</w:t>
      </w:r>
      <w:r>
        <w:rPr>
          <w:rFonts w:hint="eastAsia" w:ascii="仿宋_GB2312" w:eastAsia="仿宋_GB2312"/>
          <w:sz w:val="32"/>
          <w:szCs w:val="32"/>
          <w:lang w:eastAsia="zh-CN"/>
        </w:rPr>
        <w:t>分</w:t>
      </w: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三、部门整体支出绩效中存在问题及改进措施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（一）主要问题及原因分析：无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（二）改进的方向和具体措施：无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四、绩效自评结果拟应用和公开情况</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侨联部门整体支出绩效评价指标规定的内容，经评价组综合评价，侨联2021年度整体支出绩效评价结果为“优”。县侨联整体支出绩效明显，预算执行有效，履职良好，产生的社会效益明显，根据绩效自评结果，主要做好以下几个方面:</w:t>
      </w:r>
    </w:p>
    <w:p>
      <w:pPr>
        <w:widowControl/>
        <w:shd w:val="clear" w:color="auto" w:fill="FFFFFF"/>
        <w:spacing w:line="580" w:lineRule="atLeas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我单位逐步建立绩效评价与部门预算相结合的结果应用机制，采取项目预期绩效目标申报制度，强化评价结果在部门预算编制和执行中的应用，实现绩效评价结果在部门预算编制和执行中的应用，促进财政资金的合理分配与有效使用。</w:t>
      </w:r>
    </w:p>
    <w:p>
      <w:pPr>
        <w:widowControl/>
        <w:shd w:val="clear" w:color="auto" w:fill="FFFFFF"/>
        <w:spacing w:line="580" w:lineRule="atLeas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2.我单位按规定在政府门户网站公开了绩效自评的相关信息，数据真实、完整、准确。</w:t>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附件6</w:t>
      </w:r>
    </w:p>
    <w:p>
      <w:pPr>
        <w:spacing w:line="578" w:lineRule="exact"/>
        <w:jc w:val="center"/>
        <w:rPr>
          <w:rFonts w:hint="eastAsia" w:ascii="仿宋" w:hAnsi="仿宋" w:eastAsia="仿宋"/>
          <w:b/>
          <w:bCs/>
          <w:sz w:val="44"/>
          <w:szCs w:val="44"/>
        </w:rPr>
      </w:pPr>
      <w:r>
        <w:rPr>
          <w:rFonts w:hint="eastAsia" w:ascii="仿宋" w:hAnsi="仿宋" w:eastAsia="仿宋"/>
          <w:b/>
          <w:bCs/>
          <w:sz w:val="44"/>
          <w:szCs w:val="44"/>
        </w:rPr>
        <w:t xml:space="preserve"> </w:t>
      </w: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部门评价报告</w:t>
      </w:r>
    </w:p>
    <w:p>
      <w:pPr>
        <w:spacing w:line="578" w:lineRule="exact"/>
        <w:rPr>
          <w:rFonts w:hint="eastAsia" w:ascii="仿宋" w:hAnsi="仿宋" w:eastAsia="仿宋"/>
        </w:rPr>
      </w:pPr>
      <w:r>
        <w:rPr>
          <w:rFonts w:hint="eastAsia" w:ascii="仿宋" w:hAnsi="仿宋" w:eastAsia="仿宋"/>
        </w:rPr>
        <w:t xml:space="preserve"> </w:t>
      </w:r>
    </w:p>
    <w:p>
      <w:pPr>
        <w:spacing w:line="578" w:lineRule="exact"/>
        <w:rPr>
          <w:rFonts w:hint="eastAsia" w:ascii="仿宋" w:hAnsi="仿宋" w:eastAsia="仿宋"/>
        </w:rPr>
      </w:pPr>
      <w:r>
        <w:rPr>
          <w:rFonts w:hint="eastAsia" w:ascii="仿宋" w:hAnsi="仿宋" w:eastAsia="仿宋"/>
        </w:rPr>
        <w:t xml:space="preserve"> </w:t>
      </w:r>
    </w:p>
    <w:p>
      <w:pPr>
        <w:spacing w:line="578" w:lineRule="exact"/>
        <w:rPr>
          <w:rFonts w:hint="eastAsia" w:ascii="仿宋" w:hAnsi="仿宋" w:eastAsia="仿宋"/>
        </w:rPr>
      </w:pPr>
      <w:r>
        <w:rPr>
          <w:rFonts w:hint="eastAsia" w:ascii="仿宋" w:hAnsi="仿宋" w:eastAsia="仿宋"/>
        </w:rPr>
        <w:t xml:space="preserve"> </w:t>
      </w:r>
    </w:p>
    <w:p>
      <w:pPr>
        <w:spacing w:line="578" w:lineRule="exact"/>
        <w:rPr>
          <w:rFonts w:hint="eastAsia" w:ascii="仿宋" w:hAnsi="仿宋" w:eastAsia="仿宋"/>
        </w:rPr>
      </w:pPr>
      <w:r>
        <w:rPr>
          <w:rFonts w:hint="eastAsia" w:ascii="仿宋" w:hAnsi="仿宋" w:eastAsia="仿宋"/>
        </w:rPr>
        <w:t xml:space="preserve"> </w:t>
      </w:r>
    </w:p>
    <w:p>
      <w:pPr>
        <w:spacing w:line="680" w:lineRule="exact"/>
        <w:jc w:val="left"/>
        <w:rPr>
          <w:rFonts w:hint="eastAsia" w:ascii="仿宋_GB2312" w:hAnsi="仿宋" w:eastAsia="仿宋_GB2312" w:cs="仿宋"/>
          <w:sz w:val="28"/>
          <w:szCs w:val="28"/>
          <w:u w:val="single"/>
        </w:rPr>
      </w:pPr>
      <w:r>
        <w:rPr>
          <w:rFonts w:hint="eastAsia" w:ascii="仿宋_GB2312" w:hAnsi="仿宋" w:eastAsia="仿宋_GB2312" w:cs="仿宋"/>
        </w:rPr>
        <w:t xml:space="preserve">         </w:t>
      </w:r>
      <w:r>
        <w:rPr>
          <w:rFonts w:hint="eastAsia" w:ascii="仿宋_GB2312" w:hAnsi="仿宋" w:eastAsia="仿宋_GB2312" w:cs="仿宋"/>
          <w:sz w:val="28"/>
          <w:szCs w:val="28"/>
        </w:rPr>
        <w:t>评价类型：</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实施过程评价</w:t>
      </w:r>
      <w:r>
        <w:rPr>
          <w:rFonts w:hint="eastAsia" w:ascii="仿宋_GB2312" w:hAnsi="仿宋" w:eastAsia="仿宋_GB2312" w:cs="仿宋"/>
          <w:sz w:val="28"/>
          <w:szCs w:val="28"/>
        </w:rPr>
        <w:t xml:space="preserve">          </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完成结果评价</w:t>
      </w:r>
    </w:p>
    <w:p>
      <w:pPr>
        <w:jc w:val="left"/>
        <w:rPr>
          <w:rFonts w:ascii="宋体" w:hAnsi="宋体" w:cs="宋体"/>
          <w:color w:val="000000"/>
          <w:kern w:val="0"/>
          <w:sz w:val="20"/>
          <w:szCs w:val="20"/>
        </w:rPr>
      </w:pPr>
      <w:r>
        <w:rPr>
          <w:rFonts w:hint="eastAsia" w:ascii="仿宋_GB2312" w:hAnsi="仿宋" w:eastAsia="仿宋_GB2312" w:cs="仿宋"/>
          <w:sz w:val="28"/>
          <w:szCs w:val="28"/>
        </w:rPr>
        <w:t xml:space="preserve">       项目名称： </w:t>
      </w:r>
      <w:r>
        <w:rPr>
          <w:rFonts w:hint="eastAsia" w:ascii="仿宋_GB2312" w:hAnsi="仿宋" w:eastAsia="仿宋_GB2312" w:cs="仿宋"/>
          <w:sz w:val="28"/>
          <w:szCs w:val="28"/>
          <w:u w:val="single"/>
        </w:rPr>
        <w:t xml:space="preserve">  </w:t>
      </w:r>
      <w:r>
        <w:rPr>
          <w:rFonts w:hint="eastAsia" w:ascii="仿宋_GB2312" w:hAnsi="宋体" w:eastAsia="仿宋_GB2312" w:cs="宋体"/>
          <w:color w:val="000000"/>
          <w:kern w:val="0"/>
          <w:sz w:val="28"/>
          <w:szCs w:val="28"/>
          <w:u w:val="single"/>
        </w:rPr>
        <w:t xml:space="preserve">联络及业务经费、海外联谊经费 </w:t>
      </w:r>
      <w:r>
        <w:rPr>
          <w:rFonts w:hint="eastAsia" w:ascii="仿宋_GB2312" w:hAnsi="宋体" w:eastAsia="仿宋_GB2312" w:cs="宋体"/>
          <w:color w:val="000000"/>
          <w:kern w:val="0"/>
          <w:sz w:val="20"/>
          <w:szCs w:val="20"/>
        </w:rPr>
        <w:t xml:space="preserve"> </w:t>
      </w:r>
    </w:p>
    <w:p>
      <w:pPr>
        <w:spacing w:line="680" w:lineRule="exact"/>
        <w:jc w:val="left"/>
        <w:rPr>
          <w:rFonts w:hint="eastAsia" w:ascii="仿宋_GB2312" w:hAnsi="仿宋" w:eastAsia="仿宋_GB2312" w:cs="仿宋"/>
          <w:sz w:val="28"/>
          <w:szCs w:val="28"/>
        </w:rPr>
      </w:pPr>
      <w:r>
        <w:rPr>
          <w:rFonts w:hint="eastAsia" w:ascii="仿宋_GB2312" w:hAnsi="仿宋" w:eastAsia="仿宋_GB2312" w:cs="仿宋"/>
          <w:sz w:val="28"/>
          <w:szCs w:val="28"/>
        </w:rPr>
        <w:t xml:space="preserve">       项目单位： </w:t>
      </w:r>
      <w:r>
        <w:rPr>
          <w:rFonts w:hint="eastAsia" w:ascii="仿宋_GB2312" w:hAnsi="仿宋" w:eastAsia="仿宋_GB2312" w:cs="仿宋"/>
          <w:sz w:val="28"/>
          <w:szCs w:val="28"/>
          <w:u w:val="single"/>
        </w:rPr>
        <w:t xml:space="preserve"> 万载县归国华侨联合会 </w:t>
      </w:r>
    </w:p>
    <w:p>
      <w:pPr>
        <w:spacing w:line="680" w:lineRule="exact"/>
        <w:jc w:val="left"/>
        <w:rPr>
          <w:rFonts w:hint="eastAsia" w:ascii="仿宋_GB2312" w:hAnsi="仿宋" w:eastAsia="仿宋_GB2312" w:cs="仿宋"/>
          <w:sz w:val="28"/>
          <w:szCs w:val="28"/>
        </w:rPr>
      </w:pPr>
      <w:r>
        <w:rPr>
          <w:rFonts w:hint="eastAsia" w:ascii="仿宋_GB2312" w:hAnsi="仿宋" w:eastAsia="仿宋_GB2312" w:cs="仿宋"/>
          <w:sz w:val="28"/>
          <w:szCs w:val="28"/>
        </w:rPr>
        <w:t xml:space="preserve">       主管部门：</w:t>
      </w:r>
      <w:r>
        <w:rPr>
          <w:rFonts w:hint="eastAsia" w:ascii="仿宋_GB2312" w:hAnsi="仿宋" w:eastAsia="仿宋_GB2312" w:cs="仿宋"/>
          <w:sz w:val="28"/>
          <w:szCs w:val="28"/>
          <w:u w:val="single"/>
        </w:rPr>
        <w:t xml:space="preserve">万载县归国华侨联合会    </w:t>
      </w:r>
      <w:r>
        <w:rPr>
          <w:rFonts w:hint="eastAsia" w:ascii="仿宋_GB2312" w:hAnsi="仿宋" w:eastAsia="仿宋_GB2312" w:cs="仿宋"/>
          <w:sz w:val="28"/>
          <w:szCs w:val="28"/>
        </w:rPr>
        <w:t xml:space="preserve">  </w:t>
      </w:r>
    </w:p>
    <w:p>
      <w:pPr>
        <w:spacing w:line="680" w:lineRule="exact"/>
        <w:jc w:val="left"/>
        <w:rPr>
          <w:rFonts w:hint="eastAsia" w:ascii="仿宋_GB2312" w:hAnsi="仿宋" w:eastAsia="仿宋_GB2312" w:cs="仿宋"/>
          <w:sz w:val="28"/>
          <w:szCs w:val="28"/>
        </w:rPr>
      </w:pPr>
      <w:r>
        <w:rPr>
          <w:rFonts w:hint="eastAsia" w:ascii="仿宋_GB2312" w:hAnsi="仿宋" w:eastAsia="仿宋_GB2312" w:cs="仿宋"/>
          <w:sz w:val="28"/>
          <w:szCs w:val="28"/>
        </w:rPr>
        <w:t xml:space="preserve">       评价时间： </w:t>
      </w:r>
      <w:r>
        <w:rPr>
          <w:rFonts w:hint="eastAsia" w:ascii="仿宋_GB2312" w:hAnsi="仿宋" w:eastAsia="仿宋_GB2312" w:cs="仿宋"/>
          <w:sz w:val="28"/>
          <w:szCs w:val="28"/>
          <w:u w:val="single"/>
        </w:rPr>
        <w:t>2022年3月17日至 2022年3月25日</w:t>
      </w:r>
    </w:p>
    <w:p>
      <w:pPr>
        <w:spacing w:line="680" w:lineRule="exact"/>
        <w:jc w:val="left"/>
        <w:rPr>
          <w:rFonts w:hint="eastAsia" w:ascii="仿宋_GB2312" w:hAnsi="仿宋" w:eastAsia="仿宋_GB2312" w:cs="仿宋"/>
          <w:sz w:val="28"/>
          <w:szCs w:val="28"/>
          <w:u w:val="single"/>
        </w:rPr>
      </w:pPr>
      <w:r>
        <w:rPr>
          <w:rFonts w:hint="eastAsia" w:ascii="仿宋_GB2312" w:hAnsi="仿宋" w:eastAsia="仿宋_GB2312" w:cs="仿宋"/>
          <w:sz w:val="28"/>
          <w:szCs w:val="28"/>
        </w:rPr>
        <w:t xml:space="preserve">       组织方式：</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 xml:space="preserve">财政部门 </w:t>
      </w:r>
      <w:r>
        <w:rPr>
          <w:rFonts w:hint="eastAsia" w:ascii="仿宋_GB2312" w:hAnsi="仿宋" w:eastAsia="仿宋_GB2312" w:cs="仿宋"/>
          <w:sz w:val="28"/>
          <w:szCs w:val="28"/>
        </w:rPr>
        <w:t xml:space="preserve">    </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主管部门</w:t>
      </w:r>
      <w:r>
        <w:rPr>
          <w:rFonts w:hint="eastAsia" w:ascii="仿宋_GB2312" w:hAnsi="仿宋" w:eastAsia="仿宋_GB2312" w:cs="仿宋"/>
          <w:sz w:val="28"/>
          <w:szCs w:val="28"/>
        </w:rPr>
        <w:t xml:space="preserve">     </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项目单位</w:t>
      </w:r>
    </w:p>
    <w:p>
      <w:pPr>
        <w:spacing w:line="680" w:lineRule="exact"/>
        <w:jc w:val="left"/>
        <w:rPr>
          <w:rFonts w:hint="eastAsia" w:ascii="仿宋_GB2312" w:hAnsi="仿宋" w:eastAsia="仿宋_GB2312" w:cs="仿宋"/>
          <w:sz w:val="28"/>
          <w:szCs w:val="28"/>
        </w:rPr>
      </w:pPr>
      <w:r>
        <w:rPr>
          <w:rFonts w:hint="eastAsia" w:ascii="仿宋_GB2312" w:hAnsi="仿宋" w:eastAsia="仿宋_GB2312" w:cs="仿宋"/>
          <w:sz w:val="28"/>
          <w:szCs w:val="28"/>
        </w:rPr>
        <w:t xml:space="preserve">       评价机构：</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 xml:space="preserve">第三方机构 </w:t>
      </w:r>
      <w:r>
        <w:rPr>
          <w:rFonts w:hint="eastAsia" w:ascii="仿宋_GB2312" w:hAnsi="仿宋" w:eastAsia="仿宋_GB2312" w:cs="仿宋"/>
          <w:sz w:val="28"/>
          <w:szCs w:val="28"/>
        </w:rPr>
        <w:t xml:space="preserve">  </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 xml:space="preserve">专家组 </w:t>
      </w:r>
      <w:r>
        <w:rPr>
          <w:rFonts w:hint="eastAsia" w:ascii="仿宋_GB2312" w:hAnsi="仿宋" w:eastAsia="仿宋_GB2312" w:cs="仿宋"/>
          <w:sz w:val="28"/>
          <w:szCs w:val="28"/>
        </w:rPr>
        <w:t xml:space="preserve">  </w:t>
      </w:r>
      <w:r>
        <w:rPr>
          <w:rFonts w:hint="eastAsia" w:ascii="仿宋_GB2312" w:hAnsi="仿宋" w:eastAsia="仿宋_GB2312" w:cs="仿宋"/>
          <w:spacing w:val="-20"/>
          <w:sz w:val="28"/>
          <w:szCs w:val="28"/>
          <w:u w:val="single"/>
        </w:rPr>
        <w:t>□</w:t>
      </w:r>
      <w:r>
        <w:rPr>
          <w:rFonts w:hint="eastAsia" w:ascii="仿宋_GB2312" w:hAnsi="仿宋" w:eastAsia="仿宋_GB2312" w:cs="仿宋"/>
          <w:sz w:val="28"/>
          <w:szCs w:val="28"/>
          <w:u w:val="single"/>
        </w:rPr>
        <w:t>项目单位评价组</w:t>
      </w:r>
    </w:p>
    <w:p>
      <w:pPr>
        <w:spacing w:line="578" w:lineRule="exact"/>
        <w:ind w:left="1050" w:hanging="1050" w:hangingChars="500"/>
        <w:rPr>
          <w:rFonts w:hint="eastAsia" w:ascii="仿宋_GB2312" w:hAnsi="仿宋" w:eastAsia="仿宋_GB2312" w:cs="仿宋"/>
        </w:rPr>
      </w:pPr>
      <w:r>
        <w:rPr>
          <w:rFonts w:hint="eastAsia" w:ascii="仿宋_GB2312" w:hAnsi="仿宋" w:eastAsia="仿宋_GB2312" w:cs="仿宋"/>
        </w:rPr>
        <w:t xml:space="preserve"> </w:t>
      </w:r>
    </w:p>
    <w:p>
      <w:pPr>
        <w:spacing w:line="578" w:lineRule="exact"/>
        <w:rPr>
          <w:rFonts w:hint="eastAsia" w:ascii="仿宋_GB2312" w:hAnsi="仿宋" w:eastAsia="仿宋_GB2312" w:cs="仿宋"/>
        </w:rPr>
      </w:pPr>
      <w:r>
        <w:rPr>
          <w:rFonts w:hint="eastAsia" w:ascii="仿宋_GB2312" w:hAnsi="仿宋" w:eastAsia="仿宋_GB2312" w:cs="仿宋"/>
        </w:rPr>
        <w:t xml:space="preserve"> </w:t>
      </w:r>
    </w:p>
    <w:p>
      <w:pPr>
        <w:spacing w:line="578" w:lineRule="exact"/>
        <w:ind w:left="1050" w:hanging="1050" w:hangingChars="500"/>
        <w:rPr>
          <w:rFonts w:hint="eastAsia" w:ascii="仿宋_GB2312" w:hAnsi="仿宋" w:eastAsia="仿宋_GB2312" w:cs="仿宋"/>
        </w:rPr>
      </w:pPr>
      <w:r>
        <w:rPr>
          <w:rFonts w:hint="eastAsia" w:ascii="仿宋_GB2312" w:hAnsi="仿宋" w:eastAsia="仿宋_GB2312" w:cs="仿宋"/>
        </w:rPr>
        <w:t xml:space="preserve"> </w:t>
      </w:r>
    </w:p>
    <w:p>
      <w:pPr>
        <w:spacing w:line="578" w:lineRule="exact"/>
        <w:ind w:left="1050" w:hanging="1050" w:hangingChars="500"/>
        <w:rPr>
          <w:rFonts w:hint="eastAsia" w:ascii="仿宋_GB2312" w:hAnsi="仿宋" w:eastAsia="仿宋_GB2312" w:cs="仿宋"/>
          <w:sz w:val="28"/>
          <w:szCs w:val="28"/>
        </w:rPr>
      </w:pPr>
      <w:r>
        <w:rPr>
          <w:rFonts w:hint="eastAsia" w:ascii="仿宋_GB2312" w:hAnsi="仿宋" w:eastAsia="仿宋_GB2312" w:cs="仿宋"/>
        </w:rPr>
        <w:t xml:space="preserve">         </w:t>
      </w:r>
      <w:r>
        <w:rPr>
          <w:rFonts w:hint="eastAsia" w:ascii="仿宋_GB2312" w:hAnsi="仿宋" w:eastAsia="仿宋_GB2312" w:cs="仿宋"/>
          <w:sz w:val="28"/>
          <w:szCs w:val="28"/>
        </w:rPr>
        <w:t>评价单位（盖章）：</w:t>
      </w:r>
    </w:p>
    <w:p>
      <w:pPr>
        <w:spacing w:line="578" w:lineRule="exact"/>
        <w:ind w:left="1400" w:hanging="1400" w:hangingChars="500"/>
        <w:rPr>
          <w:rFonts w:hint="eastAsia" w:ascii="仿宋_GB2312" w:hAnsi="仿宋" w:eastAsia="仿宋_GB2312" w:cs="仿宋"/>
          <w:sz w:val="28"/>
          <w:szCs w:val="28"/>
        </w:rPr>
      </w:pPr>
      <w:r>
        <w:rPr>
          <w:rFonts w:hint="eastAsia" w:ascii="仿宋_GB2312" w:hAnsi="仿宋" w:eastAsia="仿宋_GB2312" w:cs="仿宋"/>
          <w:sz w:val="28"/>
          <w:szCs w:val="28"/>
        </w:rPr>
        <w:t xml:space="preserve">           上报时间：2022年3月25日</w:t>
      </w:r>
    </w:p>
    <w:p>
      <w:pPr>
        <w:spacing w:line="400" w:lineRule="exact"/>
        <w:jc w:val="left"/>
        <w:rPr>
          <w:rFonts w:hint="eastAsia" w:ascii="仿宋_GB2312" w:hAnsi="仿宋" w:eastAsia="仿宋_GB2312" w:cs="仿宋"/>
        </w:rPr>
      </w:pPr>
      <w:r>
        <w:rPr>
          <w:rFonts w:hint="eastAsia" w:ascii="仿宋_GB2312" w:hAnsi="仿宋" w:eastAsia="仿宋_GB2312" w:cs="仿宋"/>
        </w:rPr>
        <w:t xml:space="preserve"> </w:t>
      </w:r>
    </w:p>
    <w:p>
      <w:pPr>
        <w:rPr>
          <w:rFonts w:hint="eastAsia" w:ascii="仿宋" w:hAnsi="仿宋" w:eastAsia="仿宋"/>
        </w:rPr>
      </w:pPr>
      <w:r>
        <w:rPr>
          <w:rFonts w:hint="eastAsia" w:ascii="仿宋" w:hAnsi="仿宋" w:eastAsia="仿宋"/>
        </w:rPr>
        <w:t xml:space="preserve"> </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部门评价报告</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一、基本情况</w:t>
      </w:r>
    </w:p>
    <w:p>
      <w:pPr>
        <w:spacing w:line="520" w:lineRule="exact"/>
        <w:ind w:firstLine="629"/>
        <w:rPr>
          <w:rFonts w:hint="eastAsia" w:ascii="仿宋_GB2312" w:eastAsia="仿宋_GB2312"/>
          <w:sz w:val="32"/>
          <w:szCs w:val="32"/>
        </w:rPr>
      </w:pPr>
      <w:r>
        <w:rPr>
          <w:rFonts w:hint="eastAsia" w:ascii="仿宋_GB2312" w:eastAsia="仿宋_GB2312"/>
          <w:sz w:val="32"/>
          <w:szCs w:val="32"/>
        </w:rPr>
        <w:t>为加强万载县侨联财政项目资金管理，强化支出责任，提高财政资金的使用效益，建立科学、合理的绩效评价管理体系，根据县财政局以及省财政厅关于开展部门项目支出绩效评价工作等文件精神，万载县侨联对2021年度联络及业务、海外联谊工作经费项目进行绩效评价。评价遵循“科学规范，公正公开，分类管理，绩效相关”的原则，运用科学、合理的绩效评价指标，评价标准和评价方法，对2021年度会费项目7.5万元的经费决策、经费管理及使用的绩效情况进行客观、公正的评价。</w:t>
      </w:r>
    </w:p>
    <w:p>
      <w:pPr>
        <w:spacing w:line="520" w:lineRule="exact"/>
        <w:rPr>
          <w:rFonts w:hint="eastAsia" w:ascii="仿宋_GB2312" w:eastAsia="仿宋_GB2312"/>
          <w:bCs/>
          <w:sz w:val="32"/>
          <w:szCs w:val="32"/>
        </w:rPr>
      </w:pPr>
      <w:r>
        <w:rPr>
          <w:rFonts w:hint="eastAsia" w:ascii="仿宋_GB2312" w:eastAsia="仿宋_GB2312"/>
          <w:b/>
          <w:sz w:val="32"/>
          <w:szCs w:val="32"/>
        </w:rPr>
        <w:t xml:space="preserve">  </w:t>
      </w:r>
      <w:r>
        <w:rPr>
          <w:rFonts w:hint="eastAsia" w:ascii="仿宋_GB2312" w:eastAsia="仿宋_GB2312"/>
          <w:bCs/>
          <w:sz w:val="32"/>
          <w:szCs w:val="32"/>
        </w:rPr>
        <w:t xml:space="preserve">  侨联的项目经费是根据年初预算下拨的，共计7.5万元，主要用于侨联日常工作的开展。</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二、绩效评价工作开展情况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（一）绩效评价目的、对象和范围。</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加强整体部门绩效的评价工作，我们于3月16日成立了评价工作领导小组，由主席黄淑贤同志任组长，副科级干部宋小勇同志任副组长，罗文同志为成员共3人进行绩效评价工作。根据县财政局资金预算管理的相关文件精神和绩效评价工作的通知要求，提出了本单位的绩效评价工作方案。</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（二）绩效评价原则</w:t>
      </w:r>
    </w:p>
    <w:p>
      <w:pPr>
        <w:spacing w:line="520" w:lineRule="exact"/>
        <w:ind w:firstLine="629"/>
        <w:rPr>
          <w:rFonts w:hint="eastAsia" w:ascii="仿宋_GB2312" w:eastAsia="仿宋_GB2312"/>
          <w:sz w:val="32"/>
          <w:szCs w:val="32"/>
        </w:rPr>
      </w:pPr>
      <w:r>
        <w:rPr>
          <w:rFonts w:hint="eastAsia" w:ascii="仿宋_GB2312" w:eastAsia="仿宋_GB2312"/>
          <w:sz w:val="32"/>
          <w:szCs w:val="32"/>
        </w:rPr>
        <w:t>根据县财政局项目资金预算管理的相关文件精神和绩效评价工作的通知要求，提出了本单位的绩效评价工作方案，参照培训资料《项目支出绩效评价共性指标体系框架》制定了符合本项目特点的评价指标及评份标准。</w:t>
      </w:r>
    </w:p>
    <w:p>
      <w:pPr>
        <w:autoSpaceDE w:val="0"/>
        <w:spacing w:line="560" w:lineRule="exact"/>
        <w:ind w:firstLine="642" w:firstLineChars="200"/>
        <w:rPr>
          <w:rFonts w:hint="eastAsia" w:ascii="仿宋_GB2312" w:eastAsia="仿宋_GB2312"/>
          <w:sz w:val="32"/>
          <w:szCs w:val="32"/>
        </w:rPr>
      </w:pPr>
      <w:r>
        <w:rPr>
          <w:rFonts w:hint="eastAsia" w:ascii="仿宋_GB2312" w:eastAsia="仿宋_GB2312"/>
          <w:b/>
          <w:sz w:val="32"/>
          <w:szCs w:val="32"/>
        </w:rPr>
        <w:t>（三）</w:t>
      </w:r>
      <w:r>
        <w:rPr>
          <w:rFonts w:hint="eastAsia" w:ascii="仿宋_GB2312" w:eastAsia="仿宋_GB2312"/>
          <w:bCs/>
          <w:sz w:val="32"/>
          <w:szCs w:val="32"/>
        </w:rPr>
        <w:t>具体评价过程：</w:t>
      </w:r>
      <w:r>
        <w:rPr>
          <w:rFonts w:hint="eastAsia" w:ascii="仿宋_GB2312" w:eastAsia="仿宋_GB2312"/>
          <w:sz w:val="32"/>
          <w:szCs w:val="32"/>
        </w:rPr>
        <w:t>首先评价小组成员了解单位收支总体情况，学习绩效评价政策，评价标准，全面掌握收支出绩效评价方法和有关要求。再次在对收集的第一手评价各指标资料，包括服务单位对我会工作满意度测评情况等进行整理和分析的基础上，评价组计算出统计定量指标，对定性指标做出经验判断，并运用相应的评价方法对绩效情况进行综合评价。接着召开评价组会议，组织讨论，评价打分，形成初步的评价结论，最后征求单位领导班子的意见，根据相关意见对评价结论进行修正完善，出具绩效评价报告。</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三、综合评价情况及评价结论（见附表1）</w:t>
      </w:r>
    </w:p>
    <w:p>
      <w:pPr>
        <w:ind w:firstLine="480" w:firstLineChars="150"/>
        <w:rPr>
          <w:rFonts w:hint="eastAsia" w:ascii="仿宋_GB2312" w:eastAsia="仿宋_GB2312"/>
        </w:rPr>
      </w:pPr>
      <w:r>
        <w:rPr>
          <w:rFonts w:hint="eastAsia" w:ascii="仿宋_GB2312" w:eastAsia="仿宋_GB2312"/>
          <w:sz w:val="32"/>
          <w:szCs w:val="32"/>
        </w:rPr>
        <w:t>经费用于日常服务侨胞侨企工作，得到了好评。对其结果进行综合统计、分析、综合测评结果：96分。</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四、绩效评价指标分析</w:t>
      </w:r>
    </w:p>
    <w:p>
      <w:pPr>
        <w:ind w:firstLine="480" w:firstLineChars="150"/>
        <w:rPr>
          <w:rFonts w:hint="eastAsia" w:ascii="仿宋_GB2312" w:eastAsia="仿宋_GB2312"/>
        </w:rPr>
      </w:pPr>
      <w:r>
        <w:rPr>
          <w:rFonts w:hint="eastAsia" w:ascii="仿宋_GB2312" w:eastAsia="仿宋_GB2312"/>
          <w:sz w:val="32"/>
          <w:szCs w:val="32"/>
        </w:rPr>
        <w:t>（一）项目决策情况：2021年1月，召开相关会议，制定2021年工作要点，提出2021年的项目经费使用情况，要积极服务侨胞侨企。</w:t>
      </w:r>
    </w:p>
    <w:p>
      <w:pPr>
        <w:spacing w:line="540" w:lineRule="exact"/>
        <w:ind w:firstLine="640" w:firstLineChars="200"/>
        <w:outlineLvl w:val="0"/>
        <w:rPr>
          <w:rFonts w:hint="eastAsia" w:ascii="仿宋_GB2312" w:eastAsia="仿宋_GB2312"/>
          <w:color w:val="auto"/>
          <w:sz w:val="32"/>
          <w:szCs w:val="32"/>
        </w:rPr>
      </w:pPr>
      <w:r>
        <w:rPr>
          <w:rFonts w:hint="eastAsia" w:ascii="仿宋_GB2312" w:eastAsia="仿宋_GB2312"/>
          <w:color w:val="auto"/>
          <w:sz w:val="32"/>
          <w:szCs w:val="32"/>
        </w:rPr>
        <w:t>（二）项目过程情况</w:t>
      </w:r>
    </w:p>
    <w:p>
      <w:pPr>
        <w:spacing w:line="592"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1、认真做好招贤引智。充分</w:t>
      </w:r>
      <w:r>
        <w:rPr>
          <w:rFonts w:hint="eastAsia" w:ascii="仿宋_GB2312" w:hAnsi="仿宋" w:eastAsia="仿宋_GB2312"/>
          <w:kern w:val="0"/>
          <w:sz w:val="32"/>
          <w:szCs w:val="32"/>
        </w:rPr>
        <w:t>利用侨联、旅加侨友联谊会的自身优势，加大海外引才力度，以归国留学人员创新创业为主要方向，推动海归人才创业、引才引智，</w:t>
      </w:r>
      <w:r>
        <w:rPr>
          <w:rFonts w:hint="eastAsia" w:ascii="仿宋_GB2312" w:hAnsi="仿宋" w:eastAsia="仿宋_GB2312" w:cs="仿宋"/>
          <w:sz w:val="32"/>
          <w:szCs w:val="32"/>
        </w:rPr>
        <w:t>进一步利用旅加侨友联谊会、侨胞之家等平台，</w:t>
      </w:r>
      <w:r>
        <w:rPr>
          <w:rFonts w:hint="eastAsia" w:ascii="仿宋_GB2312" w:hAnsi="仿宋" w:eastAsia="仿宋_GB2312"/>
          <w:sz w:val="32"/>
          <w:szCs w:val="32"/>
        </w:rPr>
        <w:t>为华人华侨和留学人员来万载发展提供更大的空间平台。</w:t>
      </w:r>
    </w:p>
    <w:p>
      <w:pPr>
        <w:spacing w:line="592"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2、竭诚服务侨资侨属企业。</w:t>
      </w:r>
      <w:r>
        <w:rPr>
          <w:rFonts w:hint="eastAsia" w:ascii="仿宋_GB2312" w:hAnsi="仿宋" w:eastAsia="仿宋_GB2312" w:cs="仿宋"/>
          <w:sz w:val="32"/>
          <w:szCs w:val="32"/>
        </w:rPr>
        <w:t>深入侨资侨属企业调查研究，了解情况，积极帮助他们解决实际工作和生活中遇到的困难。计划本年度与县工商联共同举办一期侨资侨属企业家培训班，通过培训班，让广大侨商侨属知晓文件，学习文件，通过法治手段维护自身合法权益，在社会中形成“爱侨”、“护侨”的浓厚氛围。</w:t>
      </w:r>
    </w:p>
    <w:p>
      <w:pPr>
        <w:spacing w:line="592"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3、开展普法宣传。</w:t>
      </w:r>
      <w:r>
        <w:rPr>
          <w:rFonts w:hint="eastAsia" w:ascii="仿宋_GB2312" w:hAnsi="仿宋" w:eastAsia="仿宋_GB2312" w:cs="仿宋"/>
          <w:sz w:val="32"/>
          <w:szCs w:val="32"/>
        </w:rPr>
        <w:t>结合各级举办提升履职能力培训班，开展“八五”普法知识学习；结合当前防疫工作，开展“防控疫情、法治同行”专项宣传活动，增强侨联系统干部法律意识，提高懂法、守法、依法履职能力。</w:t>
      </w:r>
    </w:p>
    <w:p>
      <w:pPr>
        <w:spacing w:line="592" w:lineRule="exact"/>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4、依法维护侨益。</w:t>
      </w:r>
      <w:r>
        <w:rPr>
          <w:rFonts w:hint="eastAsia" w:ascii="仿宋_GB2312" w:hAnsi="仿宋" w:eastAsia="仿宋_GB2312" w:cs="仿宋"/>
          <w:sz w:val="32"/>
          <w:szCs w:val="32"/>
        </w:rPr>
        <w:t>畅通涉侨单位联系渠道，加强与公、检、法、司沟通协调，帮助解决侨界群众、侨资企业矛盾纠纷、法律纠纷和劳资问题，坚决维护侨界群众、侨资企业合法权益。</w:t>
      </w:r>
    </w:p>
    <w:p>
      <w:pPr>
        <w:spacing w:line="592" w:lineRule="exact"/>
        <w:ind w:firstLine="640" w:firstLineChars="200"/>
        <w:rPr>
          <w:rFonts w:hint="eastAsia" w:ascii="仿宋_GB2312" w:hAnsi="宋体" w:eastAsia="仿宋_GB2312" w:cs="宋体"/>
          <w:bCs/>
          <w:sz w:val="32"/>
          <w:szCs w:val="32"/>
        </w:rPr>
      </w:pPr>
      <w:r>
        <w:rPr>
          <w:rFonts w:hint="eastAsia" w:ascii="仿宋_GB2312" w:hAnsi="仿宋" w:eastAsia="仿宋_GB2312" w:cs="仿宋"/>
          <w:bCs/>
          <w:sz w:val="32"/>
          <w:szCs w:val="32"/>
        </w:rPr>
        <w:t>5、开展侨情调查摸底工作。</w:t>
      </w:r>
      <w:r>
        <w:rPr>
          <w:rFonts w:hint="eastAsia" w:ascii="仿宋_GB2312" w:hAnsi="仿宋" w:eastAsia="仿宋_GB2312" w:cs="仿宋"/>
          <w:sz w:val="32"/>
          <w:szCs w:val="32"/>
        </w:rPr>
        <w:t>定期开展海外侨胞调查摸底工作，重点调查了解在港人士、海外留学人员调查摸底工作，切实摸出翔实、可靠的基础数据。同时，充分调动各方资源，扎实摸清海外华侨华人（特别是在当地政界、商界、学术界有一定影响的重点人士）基本情况、就业情况、经商及其他情况，为拓展海外侨务工作奠定基础。</w:t>
      </w:r>
    </w:p>
    <w:p>
      <w:pPr>
        <w:spacing w:line="520" w:lineRule="exact"/>
        <w:ind w:firstLine="629"/>
        <w:rPr>
          <w:rFonts w:hint="eastAsia" w:ascii="仿宋_GB2312" w:eastAsia="仿宋_GB2312"/>
          <w:bCs/>
          <w:sz w:val="32"/>
          <w:szCs w:val="32"/>
        </w:rPr>
      </w:pPr>
      <w:r>
        <w:rPr>
          <w:rFonts w:hint="eastAsia" w:ascii="仿宋_GB2312" w:eastAsia="仿宋_GB2312"/>
          <w:sz w:val="32"/>
          <w:szCs w:val="32"/>
        </w:rPr>
        <w:t>（三）项目产出情况：</w:t>
      </w:r>
      <w:r>
        <w:rPr>
          <w:rFonts w:hint="eastAsia" w:ascii="仿宋_GB2312" w:eastAsia="仿宋_GB2312"/>
          <w:bCs/>
          <w:sz w:val="32"/>
          <w:szCs w:val="32"/>
        </w:rPr>
        <w:t>调研侨资企业6次，走访社区侨联小组6次，开展各类联谊活动2次，开展侨情普查及培训2次，开展侨法知识宣传活动2次，慰问走访困难归侨侨眷11户。</w:t>
      </w:r>
    </w:p>
    <w:p>
      <w:pPr>
        <w:spacing w:line="520" w:lineRule="exact"/>
        <w:ind w:firstLine="629"/>
        <w:rPr>
          <w:rFonts w:hint="eastAsia" w:ascii="仿宋_GB2312" w:eastAsia="仿宋_GB2312"/>
          <w:bCs/>
          <w:sz w:val="32"/>
          <w:szCs w:val="32"/>
        </w:rPr>
      </w:pPr>
      <w:r>
        <w:rPr>
          <w:rFonts w:hint="eastAsia" w:ascii="仿宋_GB2312" w:eastAsia="仿宋_GB2312"/>
          <w:sz w:val="32"/>
          <w:szCs w:val="32"/>
        </w:rPr>
        <w:t>（四）项目效益情况：</w:t>
      </w:r>
      <w:r>
        <w:rPr>
          <w:rFonts w:hint="eastAsia" w:ascii="仿宋_GB2312" w:eastAsia="仿宋_GB2312"/>
          <w:bCs/>
          <w:sz w:val="32"/>
          <w:szCs w:val="32"/>
        </w:rPr>
        <w:t>紧密团结广大归侨侨眷，进一步汇聚各方力量，建立健全开展服务活动的机制，并成立了侨界志愿者服务队，持续为我县归侨侨胞以及社会服务。</w:t>
      </w:r>
    </w:p>
    <w:p>
      <w:pPr>
        <w:spacing w:line="520" w:lineRule="exact"/>
        <w:ind w:firstLine="629"/>
        <w:rPr>
          <w:rFonts w:hint="eastAsia" w:ascii="黑体" w:hAnsi="黑体" w:eastAsia="黑体"/>
          <w:sz w:val="32"/>
          <w:szCs w:val="32"/>
        </w:rPr>
      </w:pPr>
      <w:r>
        <w:rPr>
          <w:rFonts w:hint="eastAsia" w:ascii="黑体" w:hAnsi="黑体" w:eastAsia="黑体"/>
          <w:b/>
          <w:sz w:val="32"/>
          <w:szCs w:val="32"/>
        </w:rPr>
        <w:t>五、主要</w:t>
      </w:r>
      <w:r>
        <w:rPr>
          <w:rFonts w:hint="eastAsia" w:ascii="黑体" w:hAnsi="黑体" w:eastAsia="黑体"/>
          <w:sz w:val="32"/>
          <w:szCs w:val="32"/>
        </w:rPr>
        <w:t>经验及做法、存在的问题及原因分析：</w:t>
      </w:r>
    </w:p>
    <w:p>
      <w:pPr>
        <w:spacing w:line="520" w:lineRule="exact"/>
        <w:ind w:firstLine="629"/>
        <w:rPr>
          <w:rFonts w:hint="eastAsia" w:ascii="仿宋_GB2312" w:eastAsia="仿宋_GB2312"/>
          <w:bCs/>
          <w:sz w:val="32"/>
          <w:szCs w:val="32"/>
        </w:rPr>
      </w:pPr>
      <w:r>
        <w:rPr>
          <w:rFonts w:hint="eastAsia" w:ascii="仿宋_GB2312" w:eastAsia="仿宋_GB2312"/>
          <w:bCs/>
          <w:sz w:val="32"/>
          <w:szCs w:val="32"/>
        </w:rPr>
        <w:t>1、工作人员对绩效评价的理解不足，业务水平有待于提高。</w:t>
      </w:r>
    </w:p>
    <w:p>
      <w:pPr>
        <w:spacing w:line="520" w:lineRule="exact"/>
        <w:ind w:firstLine="629"/>
        <w:rPr>
          <w:rFonts w:hint="eastAsia"/>
          <w:bCs/>
          <w:sz w:val="32"/>
          <w:szCs w:val="32"/>
        </w:rPr>
      </w:pPr>
      <w:r>
        <w:rPr>
          <w:rFonts w:hint="eastAsia" w:ascii="仿宋_GB2312" w:eastAsia="仿宋_GB2312"/>
          <w:bCs/>
          <w:sz w:val="32"/>
          <w:szCs w:val="32"/>
        </w:rPr>
        <w:t>2、办公室人员少，无法做分工明确</w:t>
      </w:r>
      <w:r>
        <w:rPr>
          <w:rFonts w:hint="eastAsia"/>
          <w:bCs/>
          <w:sz w:val="32"/>
          <w:szCs w:val="32"/>
        </w:rPr>
        <w:t>。</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六、有关建议：</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无</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七、其他需要说明的问题：</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无</w:t>
      </w: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p>
    <w:p>
      <w:pPr>
        <w:spacing w:line="578" w:lineRule="exact"/>
        <w:jc w:val="both"/>
        <w:rPr>
          <w:rFonts w:hint="eastAsia" w:ascii="方正小标宋简体" w:eastAsia="方正小标宋简体"/>
          <w:bCs/>
          <w:sz w:val="44"/>
          <w:szCs w:val="44"/>
        </w:rPr>
      </w:pPr>
    </w:p>
    <w:p>
      <w:pPr>
        <w:spacing w:line="578"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部门评价表</w:t>
      </w:r>
    </w:p>
    <w:p>
      <w:pPr>
        <w:spacing w:line="2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 xml:space="preserve"> </w:t>
      </w:r>
    </w:p>
    <w:tbl>
      <w:tblPr>
        <w:tblStyle w:val="4"/>
        <w:tblW w:w="10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968"/>
        <w:gridCol w:w="17"/>
        <w:gridCol w:w="497"/>
        <w:gridCol w:w="419"/>
        <w:gridCol w:w="703"/>
        <w:gridCol w:w="354"/>
        <w:gridCol w:w="215"/>
        <w:gridCol w:w="759"/>
        <w:gridCol w:w="231"/>
        <w:gridCol w:w="1034"/>
        <w:gridCol w:w="2221"/>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项目名称：</w:t>
            </w:r>
          </w:p>
        </w:tc>
        <w:tc>
          <w:tcPr>
            <w:tcW w:w="877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联络及业务经费、海外联谊经费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主管部门</w:t>
            </w:r>
          </w:p>
        </w:tc>
        <w:tc>
          <w:tcPr>
            <w:tcW w:w="14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县侨联</w:t>
            </w:r>
          </w:p>
        </w:tc>
        <w:tc>
          <w:tcPr>
            <w:tcW w:w="446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项目实施单位</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县侨联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项目负责人</w:t>
            </w:r>
          </w:p>
        </w:tc>
        <w:tc>
          <w:tcPr>
            <w:tcW w:w="14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黄淑贤</w:t>
            </w:r>
          </w:p>
        </w:tc>
        <w:tc>
          <w:tcPr>
            <w:tcW w:w="446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联系电话</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17779515252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项目类型</w:t>
            </w:r>
          </w:p>
        </w:tc>
        <w:tc>
          <w:tcPr>
            <w:tcW w:w="8771"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00"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计划投资额</w:t>
            </w:r>
          </w:p>
          <w:p>
            <w:pPr>
              <w:spacing w:line="240" w:lineRule="exact"/>
              <w:jc w:val="center"/>
              <w:rPr>
                <w:rFonts w:ascii="宋体" w:hAnsi="宋体"/>
              </w:rPr>
            </w:pPr>
            <w:r>
              <w:rPr>
                <w:rFonts w:hint="eastAsia" w:ascii="宋体" w:hAnsi="宋体"/>
              </w:rPr>
              <w:t>（万元）</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7.5</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实际到位资金（万元）</w:t>
            </w:r>
          </w:p>
        </w:tc>
        <w:tc>
          <w:tcPr>
            <w:tcW w:w="10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7.5</w:t>
            </w:r>
          </w:p>
        </w:tc>
        <w:tc>
          <w:tcPr>
            <w:tcW w:w="349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实际使用情况（万元）</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其中：中央财政</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其中：中央财政</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34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省财政</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省财政</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34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市县财政</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7.5</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市县财政</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7.5</w:t>
            </w:r>
          </w:p>
        </w:tc>
        <w:tc>
          <w:tcPr>
            <w:tcW w:w="34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4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其他</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其他</w:t>
            </w:r>
          </w:p>
        </w:tc>
        <w:tc>
          <w:tcPr>
            <w:tcW w:w="10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349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10253"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b/>
                <w:bCs/>
              </w:rPr>
              <w:t>二、</w:t>
            </w:r>
            <w:r>
              <w:rPr>
                <w:rFonts w:hint="eastAsia" w:ascii="宋体" w:hAnsi="宋体"/>
                <w:b/>
              </w:rPr>
              <w:t>绩效评价指标评分（参考）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一级指标</w:t>
            </w:r>
          </w:p>
        </w:tc>
        <w:tc>
          <w:tcPr>
            <w:tcW w:w="916" w:type="dxa"/>
            <w:gridSpan w:val="2"/>
            <w:tcBorders>
              <w:top w:val="single" w:color="000000" w:sz="4" w:space="0"/>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分值</w:t>
            </w:r>
          </w:p>
        </w:tc>
        <w:tc>
          <w:tcPr>
            <w:tcW w:w="12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二级指标</w:t>
            </w:r>
          </w:p>
        </w:tc>
        <w:tc>
          <w:tcPr>
            <w:tcW w:w="7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分值</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三级指标</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分值</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决策</w:t>
            </w:r>
          </w:p>
        </w:tc>
        <w:tc>
          <w:tcPr>
            <w:tcW w:w="916" w:type="dxa"/>
            <w:gridSpan w:val="2"/>
            <w:vMerge w:val="restart"/>
            <w:tcBorders>
              <w:top w:val="single" w:color="000000" w:sz="4" w:space="0"/>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40</w:t>
            </w:r>
          </w:p>
        </w:tc>
        <w:tc>
          <w:tcPr>
            <w:tcW w:w="1272" w:type="dxa"/>
            <w:gridSpan w:val="3"/>
            <w:vMerge w:val="restart"/>
            <w:tcBorders>
              <w:top w:val="nil"/>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项目立项</w:t>
            </w:r>
          </w:p>
        </w:tc>
        <w:tc>
          <w:tcPr>
            <w:tcW w:w="759" w:type="dxa"/>
            <w:vMerge w:val="restart"/>
            <w:tcBorders>
              <w:top w:val="nil"/>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立项依据充分性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3</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continue"/>
            <w:tcBorders>
              <w:top w:val="nil"/>
              <w:left w:val="nil"/>
              <w:bottom w:val="nil"/>
              <w:right w:val="single" w:color="000000" w:sz="4" w:space="0"/>
            </w:tcBorders>
            <w:vAlign w:val="center"/>
          </w:tcPr>
          <w:p>
            <w:pPr>
              <w:widowControl/>
              <w:jc w:val="left"/>
              <w:rPr>
                <w:rFonts w:ascii="宋体" w:hAnsi="宋体"/>
              </w:rPr>
            </w:pPr>
          </w:p>
        </w:tc>
        <w:tc>
          <w:tcPr>
            <w:tcW w:w="759" w:type="dxa"/>
            <w:vMerge w:val="continue"/>
            <w:tcBorders>
              <w:top w:val="nil"/>
              <w:left w:val="nil"/>
              <w:bottom w:val="single" w:color="auto" w:sz="4" w:space="0"/>
              <w:right w:val="single" w:color="000000" w:sz="4" w:space="0"/>
            </w:tcBorders>
            <w:vAlign w:val="center"/>
          </w:tcPr>
          <w:p>
            <w:pPr>
              <w:widowControl/>
              <w:jc w:val="left"/>
              <w:rPr>
                <w:rFonts w:ascii="宋体" w:hAnsi="宋体"/>
              </w:rPr>
            </w:pPr>
          </w:p>
        </w:tc>
        <w:tc>
          <w:tcPr>
            <w:tcW w:w="3486" w:type="dxa"/>
            <w:gridSpan w:val="3"/>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立项程序规范性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2</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restart"/>
            <w:tcBorders>
              <w:top w:val="nil"/>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绩效目标</w:t>
            </w:r>
          </w:p>
        </w:tc>
        <w:tc>
          <w:tcPr>
            <w:tcW w:w="759" w:type="dxa"/>
            <w:vMerge w:val="restart"/>
            <w:tcBorders>
              <w:top w:val="single" w:color="auto" w:sz="4" w:space="0"/>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3486" w:type="dxa"/>
            <w:gridSpan w:val="3"/>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绩效目标合理性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3</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continue"/>
            <w:tcBorders>
              <w:top w:val="nil"/>
              <w:left w:val="nil"/>
              <w:bottom w:val="nil"/>
              <w:right w:val="single" w:color="000000" w:sz="4" w:space="0"/>
            </w:tcBorders>
            <w:vAlign w:val="center"/>
          </w:tcPr>
          <w:p>
            <w:pPr>
              <w:widowControl/>
              <w:jc w:val="left"/>
              <w:rPr>
                <w:rFonts w:ascii="宋体" w:hAnsi="宋体"/>
              </w:rPr>
            </w:pPr>
          </w:p>
        </w:tc>
        <w:tc>
          <w:tcPr>
            <w:tcW w:w="759" w:type="dxa"/>
            <w:vMerge w:val="continue"/>
            <w:tcBorders>
              <w:top w:val="nil"/>
              <w:left w:val="nil"/>
              <w:bottom w:val="single" w:color="auto" w:sz="4" w:space="0"/>
              <w:right w:val="single" w:color="000000" w:sz="4" w:space="0"/>
            </w:tcBorders>
            <w:vAlign w:val="center"/>
          </w:tcPr>
          <w:p>
            <w:pPr>
              <w:widowControl/>
              <w:jc w:val="left"/>
              <w:rPr>
                <w:rFonts w:ascii="宋体" w:hAnsi="宋体"/>
              </w:rPr>
            </w:pP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绩效指标明确性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2</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资金投入</w:t>
            </w:r>
          </w:p>
        </w:tc>
        <w:tc>
          <w:tcPr>
            <w:tcW w:w="759" w:type="dxa"/>
            <w:vMerge w:val="restart"/>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10</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预算编制科学性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759" w:type="dxa"/>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资金分配合理性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过程</w:t>
            </w:r>
          </w:p>
        </w:tc>
        <w:tc>
          <w:tcPr>
            <w:tcW w:w="916" w:type="dxa"/>
            <w:gridSpan w:val="2"/>
            <w:vMerge w:val="continue"/>
            <w:tcBorders>
              <w:top w:val="single" w:color="000000" w:sz="4" w:space="0"/>
              <w:left w:val="nil"/>
              <w:bottom w:val="nil"/>
              <w:right w:val="single" w:color="000000" w:sz="4" w:space="0"/>
            </w:tcBorders>
            <w:tcMar>
              <w:top w:w="0" w:type="dxa"/>
              <w:left w:w="108" w:type="dxa"/>
              <w:bottom w:w="0" w:type="dxa"/>
              <w:right w:w="108" w:type="dxa"/>
            </w:tcMar>
            <w:vAlign w:val="center"/>
          </w:tcPr>
          <w:p>
            <w:pPr>
              <w:widowControl/>
              <w:jc w:val="left"/>
              <w:rPr>
                <w:rFonts w:ascii="宋体" w:hAnsi="宋体"/>
              </w:rPr>
            </w:pPr>
          </w:p>
        </w:tc>
        <w:tc>
          <w:tcPr>
            <w:tcW w:w="1272" w:type="dxa"/>
            <w:gridSpan w:val="3"/>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rPr>
            </w:pPr>
            <w:r>
              <w:rPr>
                <w:rFonts w:hint="eastAsia" w:ascii="宋体" w:hAnsi="宋体"/>
              </w:rPr>
              <w:t>资金管理</w:t>
            </w:r>
          </w:p>
        </w:tc>
        <w:tc>
          <w:tcPr>
            <w:tcW w:w="759"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资金到位率</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2</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759" w:type="dxa"/>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预算执行率</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3</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rPr>
            </w:pPr>
            <w:r>
              <w:rPr>
                <w:rFonts w:hint="eastAsia" w:ascii="宋体" w:hAnsi="宋体"/>
              </w:rPr>
              <w:t>资金管理</w:t>
            </w:r>
          </w:p>
        </w:tc>
        <w:tc>
          <w:tcPr>
            <w:tcW w:w="7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资金使用合规性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nil"/>
              <w:right w:val="single" w:color="000000" w:sz="4" w:space="0"/>
            </w:tcBorders>
            <w:vAlign w:val="center"/>
          </w:tcPr>
          <w:p>
            <w:pPr>
              <w:widowControl/>
              <w:jc w:val="left"/>
              <w:rPr>
                <w:rFonts w:ascii="宋体" w:hAnsi="宋体"/>
              </w:rPr>
            </w:pPr>
          </w:p>
        </w:tc>
        <w:tc>
          <w:tcPr>
            <w:tcW w:w="1272" w:type="dxa"/>
            <w:gridSpan w:val="3"/>
            <w:vMerge w:val="restart"/>
            <w:tcBorders>
              <w:top w:val="nil"/>
              <w:left w:val="nil"/>
              <w:bottom w:val="nil"/>
              <w:right w:val="single" w:color="000000" w:sz="4" w:space="0"/>
            </w:tcBorders>
            <w:tcMar>
              <w:top w:w="0" w:type="dxa"/>
              <w:left w:w="108" w:type="dxa"/>
              <w:bottom w:w="0" w:type="dxa"/>
              <w:right w:w="108" w:type="dxa"/>
            </w:tcMar>
            <w:vAlign w:val="center"/>
          </w:tcPr>
          <w:p>
            <w:pPr>
              <w:spacing w:line="0" w:lineRule="atLeast"/>
              <w:jc w:val="center"/>
              <w:rPr>
                <w:rFonts w:ascii="宋体" w:hAnsi="宋体"/>
              </w:rPr>
            </w:pPr>
            <w:r>
              <w:rPr>
                <w:rFonts w:hint="eastAsia" w:ascii="宋体" w:hAnsi="宋体"/>
              </w:rPr>
              <w:t>组织实施　</w:t>
            </w:r>
          </w:p>
        </w:tc>
        <w:tc>
          <w:tcPr>
            <w:tcW w:w="759" w:type="dxa"/>
            <w:vMerge w:val="restart"/>
            <w:tcBorders>
              <w:top w:val="nil"/>
              <w:left w:val="nil"/>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10</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管理制度健全性</w:t>
            </w: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rPr>
            </w:pPr>
          </w:p>
        </w:tc>
        <w:tc>
          <w:tcPr>
            <w:tcW w:w="916" w:type="dxa"/>
            <w:gridSpan w:val="2"/>
            <w:vMerge w:val="continue"/>
            <w:tcBorders>
              <w:top w:val="single" w:color="000000" w:sz="4" w:space="0"/>
              <w:left w:val="nil"/>
              <w:bottom w:val="single" w:color="auto" w:sz="4" w:space="0"/>
              <w:right w:val="single" w:color="000000" w:sz="4" w:space="0"/>
            </w:tcBorders>
            <w:vAlign w:val="center"/>
          </w:tcPr>
          <w:p>
            <w:pPr>
              <w:widowControl/>
              <w:jc w:val="left"/>
              <w:rPr>
                <w:rFonts w:ascii="宋体" w:hAnsi="宋体"/>
              </w:rPr>
            </w:pPr>
          </w:p>
        </w:tc>
        <w:tc>
          <w:tcPr>
            <w:tcW w:w="1272" w:type="dxa"/>
            <w:gridSpan w:val="3"/>
            <w:vMerge w:val="continue"/>
            <w:tcBorders>
              <w:top w:val="nil"/>
              <w:left w:val="nil"/>
              <w:bottom w:val="single" w:color="auto" w:sz="4" w:space="0"/>
              <w:right w:val="single" w:color="000000" w:sz="4" w:space="0"/>
            </w:tcBorders>
            <w:vAlign w:val="center"/>
          </w:tcPr>
          <w:p>
            <w:pPr>
              <w:widowControl/>
              <w:jc w:val="left"/>
              <w:rPr>
                <w:rFonts w:ascii="宋体" w:hAnsi="宋体"/>
              </w:rPr>
            </w:pPr>
          </w:p>
        </w:tc>
        <w:tc>
          <w:tcPr>
            <w:tcW w:w="759" w:type="dxa"/>
            <w:vMerge w:val="continue"/>
            <w:tcBorders>
              <w:top w:val="nil"/>
              <w:left w:val="nil"/>
              <w:bottom w:val="single" w:color="auto" w:sz="4" w:space="0"/>
              <w:right w:val="single" w:color="000000" w:sz="4" w:space="0"/>
            </w:tcBorders>
            <w:vAlign w:val="center"/>
          </w:tcPr>
          <w:p>
            <w:pPr>
              <w:widowControl/>
              <w:jc w:val="left"/>
              <w:rPr>
                <w:rFonts w:ascii="宋体" w:hAnsi="宋体"/>
              </w:rPr>
            </w:pPr>
          </w:p>
        </w:tc>
        <w:tc>
          <w:tcPr>
            <w:tcW w:w="3486" w:type="dxa"/>
            <w:gridSpan w:val="3"/>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spacing w:line="0" w:lineRule="atLeast"/>
              <w:jc w:val="center"/>
              <w:rPr>
                <w:rFonts w:ascii="宋体" w:hAnsi="宋体"/>
                <w:kern w:val="0"/>
              </w:rPr>
            </w:pPr>
            <w:r>
              <w:rPr>
                <w:rFonts w:hint="eastAsia" w:ascii="宋体" w:hAnsi="宋体"/>
                <w:kern w:val="0"/>
              </w:rPr>
              <w:t>制度执行有效性</w:t>
            </w:r>
          </w:p>
        </w:tc>
        <w:tc>
          <w:tcPr>
            <w:tcW w:w="1276"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restart"/>
            <w:tcBorders>
              <w:top w:val="nil"/>
              <w:left w:val="single" w:color="000000" w:sz="4" w:space="0"/>
              <w:bottom w:val="nil"/>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产出</w:t>
            </w:r>
          </w:p>
        </w:tc>
        <w:tc>
          <w:tcPr>
            <w:tcW w:w="916"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60</w:t>
            </w:r>
          </w:p>
        </w:tc>
        <w:tc>
          <w:tcPr>
            <w:tcW w:w="1272" w:type="dxa"/>
            <w:gridSpan w:val="3"/>
            <w:vMerge w:val="restart"/>
            <w:tcBorders>
              <w:top w:val="single" w:color="000000" w:sz="4" w:space="0"/>
              <w:left w:val="nil"/>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产出数量</w:t>
            </w: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7</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开展调研6次及宣传联谊活动8次</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7</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continue"/>
            <w:tcBorders>
              <w:left w:val="nil"/>
              <w:bottom w:val="single" w:color="000000" w:sz="4" w:space="0"/>
              <w:right w:val="single" w:color="auto" w:sz="4" w:space="0"/>
            </w:tcBorders>
            <w:tcMar>
              <w:top w:w="0" w:type="dxa"/>
              <w:left w:w="108" w:type="dxa"/>
              <w:bottom w:w="0" w:type="dxa"/>
              <w:right w:w="108" w:type="dxa"/>
            </w:tcMar>
            <w:vAlign w:val="center"/>
          </w:tcPr>
          <w:p>
            <w:pPr>
              <w:spacing w:line="300" w:lineRule="exact"/>
              <w:textAlignment w:val="center"/>
              <w:rPr>
                <w:rFonts w:ascii="宋体" w:hAnsi="宋体"/>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7</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走访慰问10次报道10篇</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7</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restart"/>
            <w:tcBorders>
              <w:top w:val="single" w:color="000000" w:sz="4" w:space="0"/>
              <w:left w:val="nil"/>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产出时效</w:t>
            </w: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6</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培训宣传联谊活动开展及时率</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6</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nil"/>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continue"/>
            <w:tcBorders>
              <w:left w:val="nil"/>
              <w:bottom w:val="single" w:color="000000"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5</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侨联其他各项工作开展及时率</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效益</w:t>
            </w:r>
          </w:p>
        </w:tc>
        <w:tc>
          <w:tcPr>
            <w:tcW w:w="916" w:type="dxa"/>
            <w:gridSpan w:val="2"/>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widowControl/>
              <w:jc w:val="left"/>
              <w:rPr>
                <w:rFonts w:ascii="宋体" w:hAnsi="宋体"/>
              </w:rPr>
            </w:pPr>
          </w:p>
        </w:tc>
        <w:tc>
          <w:tcPr>
            <w:tcW w:w="1272" w:type="dxa"/>
            <w:gridSpan w:val="3"/>
            <w:vMerge w:val="restart"/>
            <w:tcBorders>
              <w:top w:val="single" w:color="000000" w:sz="4" w:space="0"/>
              <w:left w:val="nil"/>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社会效益</w:t>
            </w: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5</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提高侨眷幸福指数</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continue"/>
            <w:tcBorders>
              <w:left w:val="nil"/>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5</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服务能力不断提高</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continue"/>
            <w:tcBorders>
              <w:left w:val="nil"/>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5</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友谊成果不断巩固</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continue"/>
            <w:tcBorders>
              <w:left w:val="nil"/>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hint="eastAsia" w:ascii="宋体" w:hAnsi="宋体"/>
              </w:rPr>
            </w:pPr>
            <w:r>
              <w:rPr>
                <w:rFonts w:hint="eastAsia" w:ascii="宋体" w:hAnsi="宋体"/>
              </w:rPr>
              <w:t>5</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hint="eastAsia" w:ascii="宋体" w:hAnsi="宋体"/>
              </w:rPr>
            </w:pPr>
            <w:r>
              <w:rPr>
                <w:rFonts w:hint="eastAsia" w:ascii="宋体" w:hAnsi="宋体"/>
              </w:rPr>
              <w:t>侨权侨益得到有效保障</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vMerge w:val="continue"/>
            <w:tcBorders>
              <w:left w:val="nil"/>
              <w:bottom w:val="single" w:color="000000"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p>
        </w:tc>
        <w:tc>
          <w:tcPr>
            <w:tcW w:w="7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5</w:t>
            </w:r>
          </w:p>
        </w:tc>
        <w:tc>
          <w:tcPr>
            <w:tcW w:w="348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宋体" w:hAnsi="宋体"/>
              </w:rPr>
            </w:pPr>
            <w:r>
              <w:rPr>
                <w:rFonts w:hint="eastAsia" w:ascii="宋体" w:hAnsi="宋体"/>
              </w:rPr>
              <w:t>侨爱侨心广泛传播延续</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c>
          <w:tcPr>
            <w:tcW w:w="155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38" w:hRule="atLeast"/>
          <w:jc w:val="center"/>
        </w:trPr>
        <w:tc>
          <w:tcPr>
            <w:tcW w:w="985" w:type="dxa"/>
            <w:gridSpan w:val="2"/>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rPr>
            </w:pPr>
          </w:p>
        </w:tc>
        <w:tc>
          <w:tcPr>
            <w:tcW w:w="916"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rPr>
            </w:pPr>
          </w:p>
        </w:tc>
        <w:tc>
          <w:tcPr>
            <w:tcW w:w="12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280" w:lineRule="exact"/>
              <w:jc w:val="center"/>
              <w:textAlignment w:val="center"/>
              <w:rPr>
                <w:rFonts w:ascii="宋体" w:hAnsi="宋体"/>
              </w:rPr>
            </w:pPr>
            <w:r>
              <w:rPr>
                <w:rFonts w:hint="eastAsia" w:ascii="宋体" w:hAnsi="宋体"/>
              </w:rPr>
              <w:t>满意度</w:t>
            </w:r>
          </w:p>
        </w:tc>
        <w:tc>
          <w:tcPr>
            <w:tcW w:w="759"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spacing w:line="280" w:lineRule="exact"/>
              <w:jc w:val="center"/>
              <w:rPr>
                <w:rFonts w:ascii="宋体" w:hAnsi="宋体"/>
              </w:rPr>
            </w:pPr>
            <w:r>
              <w:rPr>
                <w:rFonts w:hint="eastAsia" w:ascii="宋体" w:hAnsi="宋体"/>
              </w:rPr>
              <w:t>10</w:t>
            </w:r>
          </w:p>
        </w:tc>
        <w:tc>
          <w:tcPr>
            <w:tcW w:w="3486" w:type="dxa"/>
            <w:gridSpan w:val="3"/>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spacing w:line="280" w:lineRule="exact"/>
              <w:jc w:val="center"/>
              <w:textAlignment w:val="center"/>
              <w:rPr>
                <w:rFonts w:ascii="宋体" w:hAnsi="宋体"/>
              </w:rPr>
            </w:pPr>
            <w:r>
              <w:rPr>
                <w:rFonts w:hint="eastAsia" w:ascii="宋体" w:hAnsi="宋体"/>
              </w:rPr>
              <w:t>社会公众或服务对象满意度</w:t>
            </w:r>
          </w:p>
        </w:tc>
        <w:tc>
          <w:tcPr>
            <w:tcW w:w="1276"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10</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总分</w:t>
            </w:r>
          </w:p>
        </w:tc>
        <w:tc>
          <w:tcPr>
            <w:tcW w:w="916"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100</w:t>
            </w:r>
          </w:p>
        </w:tc>
        <w:tc>
          <w:tcPr>
            <w:tcW w:w="127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p>
        </w:tc>
        <w:tc>
          <w:tcPr>
            <w:tcW w:w="7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100</w:t>
            </w:r>
          </w:p>
        </w:tc>
        <w:tc>
          <w:tcPr>
            <w:tcW w:w="348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p>
        </w:tc>
        <w:tc>
          <w:tcPr>
            <w:tcW w:w="127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100</w:t>
            </w:r>
          </w:p>
        </w:tc>
        <w:tc>
          <w:tcPr>
            <w:tcW w:w="155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pacing w:line="300" w:lineRule="exact"/>
              <w:jc w:val="center"/>
              <w:textAlignment w:val="center"/>
              <w:rPr>
                <w:rFonts w:ascii="宋体" w:hAnsi="宋体"/>
                <w:bCs/>
              </w:rPr>
            </w:pPr>
            <w:r>
              <w:rPr>
                <w:rFonts w:hint="eastAsia" w:ascii="宋体" w:hAnsi="宋体"/>
                <w:bCs/>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92" w:hRule="atLeast"/>
          <w:jc w:val="center"/>
        </w:trPr>
        <w:tc>
          <w:tcPr>
            <w:tcW w:w="968"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rPr>
              <w:t>评价等次</w:t>
            </w:r>
          </w:p>
        </w:tc>
        <w:tc>
          <w:tcPr>
            <w:tcW w:w="9285"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宋体" w:hAnsi="宋体"/>
              </w:rPr>
            </w:pPr>
            <w:r>
              <w:rPr>
                <w:rFonts w:hint="eastAsia" w:ascii="宋体" w:hAnsi="宋体"/>
                <w:kern w:val="0"/>
              </w:rPr>
              <w:t>优□        良□       中 □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20" w:hRule="atLeast"/>
          <w:jc w:val="center"/>
        </w:trPr>
        <w:tc>
          <w:tcPr>
            <w:tcW w:w="9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285"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260" w:lineRule="exact"/>
              <w:rPr>
                <w:rFonts w:ascii="宋体" w:hAnsi="宋体"/>
                <w:kern w:val="0"/>
              </w:rPr>
            </w:pPr>
            <w:r>
              <w:rPr>
                <w:rFonts w:hint="eastAsia" w:ascii="宋体" w:hAnsi="宋体"/>
                <w:kern w:val="0"/>
              </w:rPr>
              <w:t>100-90（含）分为优、90-80（含）分为良、80-60（含）分为中、60分以下为差</w:t>
            </w:r>
          </w:p>
        </w:tc>
      </w:tr>
    </w:tbl>
    <w:p>
      <w:pPr>
        <w:rPr>
          <w:rFonts w:hint="eastAsia" w:ascii="楷体_GB2312" w:eastAsia="楷体_GB2312"/>
          <w:sz w:val="32"/>
          <w:szCs w:val="32"/>
        </w:rPr>
      </w:pPr>
      <w:r>
        <w:rPr>
          <w:rFonts w:hint="eastAsia" w:ascii="仿宋" w:hAnsi="仿宋" w:eastAsia="仿宋"/>
          <w:spacing w:val="-11"/>
        </w:rPr>
        <w:t>注：指标可参考财政部《项目支出绩效评价管理办法》中附件2：《项目支出绩效评价指标体系框架》设置。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微软雅黑"/>
    <w:panose1 w:val="02010609060101010101"/>
    <w:charset w:val="86"/>
    <w:family w:val="swiss"/>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10"/>
    <w:rsid w:val="00011A10"/>
    <w:rsid w:val="0006701A"/>
    <w:rsid w:val="0018322D"/>
    <w:rsid w:val="001F4D95"/>
    <w:rsid w:val="00203260"/>
    <w:rsid w:val="002F3A44"/>
    <w:rsid w:val="00344066"/>
    <w:rsid w:val="00383484"/>
    <w:rsid w:val="00494A66"/>
    <w:rsid w:val="00545C16"/>
    <w:rsid w:val="0057284E"/>
    <w:rsid w:val="00865C4E"/>
    <w:rsid w:val="00931C68"/>
    <w:rsid w:val="009F480B"/>
    <w:rsid w:val="009F522F"/>
    <w:rsid w:val="009F726E"/>
    <w:rsid w:val="00A10E89"/>
    <w:rsid w:val="00B14C50"/>
    <w:rsid w:val="00E26CF2"/>
    <w:rsid w:val="00FB756B"/>
    <w:rsid w:val="155B2E7E"/>
    <w:rsid w:val="22E440B9"/>
    <w:rsid w:val="47D34914"/>
    <w:rsid w:val="572FF7C8"/>
    <w:rsid w:val="63B60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7"/>
    <w:unhideWhenUsed/>
    <w:qFormat/>
    <w:uiPriority w:val="99"/>
    <w:pPr>
      <w:spacing w:after="0" w:line="580" w:lineRule="exact"/>
      <w:ind w:left="0" w:leftChars="0" w:firstLine="420" w:firstLineChars="200"/>
    </w:pPr>
    <w:rPr>
      <w:rFonts w:ascii="仿宋_GB2312" w:hAnsi="宋体" w:eastAsia="仿宋_GB2312" w:cs="宋体"/>
      <w:sz w:val="30"/>
      <w:szCs w:val="30"/>
    </w:rPr>
  </w:style>
  <w:style w:type="paragraph" w:styleId="3">
    <w:name w:val="Body Text Indent"/>
    <w:basedOn w:val="1"/>
    <w:link w:val="6"/>
    <w:unhideWhenUsed/>
    <w:qFormat/>
    <w:uiPriority w:val="99"/>
    <w:pPr>
      <w:spacing w:after="120"/>
      <w:ind w:left="420" w:leftChars="200"/>
    </w:pPr>
  </w:style>
  <w:style w:type="character" w:customStyle="1" w:styleId="6">
    <w:name w:val="正文文本缩进 Char"/>
    <w:basedOn w:val="5"/>
    <w:link w:val="3"/>
    <w:semiHidden/>
    <w:qFormat/>
    <w:uiPriority w:val="99"/>
    <w:rPr>
      <w:rFonts w:ascii="Times New Roman" w:hAnsi="Times New Roman" w:eastAsia="宋体" w:cs="Times New Roman"/>
      <w:szCs w:val="21"/>
    </w:rPr>
  </w:style>
  <w:style w:type="character" w:customStyle="1" w:styleId="7">
    <w:name w:val="正文首行缩进 2 Char"/>
    <w:basedOn w:val="6"/>
    <w:link w:val="2"/>
    <w:semiHidden/>
    <w:qFormat/>
    <w:uiPriority w:val="99"/>
    <w:rPr>
      <w:rFonts w:ascii="仿宋_GB2312" w:hAnsi="宋体" w:eastAsia="仿宋_GB2312" w:cs="宋体"/>
      <w:sz w:val="30"/>
      <w:szCs w:val="30"/>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778</Words>
  <Characters>4438</Characters>
  <Lines>36</Lines>
  <Paragraphs>10</Paragraphs>
  <TotalTime>6</TotalTime>
  <ScaleCrop>false</ScaleCrop>
  <LinksUpToDate>false</LinksUpToDate>
  <CharactersWithSpaces>5206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2022-03-18T09:26:00Z</dcterms:created>
  <dc:creator>Administrator</dc:creator>
  <cp:lastModifiedBy>user</cp:lastModifiedBy>
  <dcterms:modified xsi:type="dcterms:W3CDTF">2024-01-29T16:58:30Z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3C51C25DCE4E446CA04D1456A1B5705C_13</vt:lpwstr>
  </property>
</Properties>
</file>