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center"/>
        <w:textAlignment w:val="auto"/>
        <w:rPr>
          <w:rFonts w:hint="eastAsia" w:ascii="方正小标宋简体" w:hAnsi="方正小标宋简体" w:eastAsia="方正小标宋简体" w:cs="方正小标宋简体"/>
          <w:i w:val="0"/>
          <w:iCs w:val="0"/>
          <w:caps w:val="0"/>
          <w:color w:val="000000"/>
          <w:spacing w:val="0"/>
          <w:kern w:val="0"/>
          <w:sz w:val="32"/>
          <w:szCs w:val="32"/>
          <w:shd w:val="clear" w:fill="FFFFFF"/>
          <w:lang w:val="en-US" w:eastAsia="zh-CN" w:bidi="ar"/>
        </w:rPr>
      </w:pPr>
      <w:bookmarkStart w:id="0" w:name="_GoBack"/>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茭湖乡人民政府2021年度政府信息公开工作年度报告</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ascii="微软雅黑" w:hAnsi="微软雅黑" w:eastAsia="微软雅黑" w:cs="微软雅黑"/>
          <w:i w:val="0"/>
          <w:iCs w:val="0"/>
          <w:caps w:val="0"/>
          <w:color w:val="000000"/>
          <w:spacing w:val="0"/>
          <w:sz w:val="26"/>
          <w:szCs w:val="26"/>
        </w:rPr>
      </w:pPr>
      <w:r>
        <w:rPr>
          <w:rFonts w:ascii="仿宋" w:hAnsi="仿宋" w:eastAsia="仿宋" w:cs="仿宋"/>
          <w:i w:val="0"/>
          <w:iCs w:val="0"/>
          <w:caps w:val="0"/>
          <w:color w:val="000000"/>
          <w:spacing w:val="0"/>
          <w:kern w:val="0"/>
          <w:sz w:val="32"/>
          <w:szCs w:val="32"/>
          <w:shd w:val="clear" w:fill="FFFFFF"/>
          <w:lang w:val="en-US" w:eastAsia="zh-CN" w:bidi="ar"/>
        </w:rPr>
        <w:t>本报告依据《中华人民共和国政府信息公开条例》（国务院令第</w:t>
      </w:r>
      <w:r>
        <w:rPr>
          <w:rFonts w:hint="eastAsia" w:ascii="仿宋" w:hAnsi="仿宋" w:eastAsia="仿宋" w:cs="仿宋"/>
          <w:i w:val="0"/>
          <w:iCs w:val="0"/>
          <w:caps w:val="0"/>
          <w:color w:val="000000"/>
          <w:spacing w:val="0"/>
          <w:kern w:val="0"/>
          <w:sz w:val="32"/>
          <w:szCs w:val="32"/>
          <w:shd w:val="clear" w:fill="FFFFFF"/>
          <w:lang w:val="en-US" w:eastAsia="zh-CN" w:bidi="ar"/>
        </w:rPr>
        <w:t>711号，以下简称新《条例》）和国务院办公厅政府信息与政务公开办公室关于印发《中华人民共和国政府信息公开工作年度报告格式》（国办公开办函〔2021〕30号）要求，由茭湖乡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万载县人民政府网站（http://www.wanzai.gov.cn/wzxrmzf/mbx/xxgk.shtml）下载。如对本报告有任何疑问，请与茭湖乡联系（地址：万载县茭湖乡茭湖街1号，电话：0795-8310001，邮编：336114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ascii="黑体" w:hAnsi="宋体" w:eastAsia="黑体" w:cs="黑体"/>
          <w:i w:val="0"/>
          <w:iCs w:val="0"/>
          <w:caps w:val="0"/>
          <w:color w:val="000000"/>
          <w:spacing w:val="0"/>
          <w:kern w:val="0"/>
          <w:sz w:val="32"/>
          <w:szCs w:val="32"/>
          <w:shd w:val="clear" w:fill="FFFFFF"/>
          <w:lang w:val="en-US" w:eastAsia="zh-CN" w:bidi="ar"/>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i w:val="0"/>
          <w:iCs w:val="0"/>
          <w:caps w:val="0"/>
          <w:color w:val="000000"/>
          <w:spacing w:val="0"/>
          <w:kern w:val="0"/>
          <w:sz w:val="32"/>
          <w:szCs w:val="32"/>
          <w:shd w:val="clear" w:fill="FFFFFF"/>
          <w:lang w:val="en-US" w:eastAsia="zh-CN" w:bidi="ar"/>
        </w:rPr>
        <w:t>2021年，我乡政府信息公开工作紧紧围绕中央、省、市、县各级政府重大决策部署，贯彻落实《国务院办公厅印发〈关于全面推进政务公开工作的意见〉实施细则的通知》（国办发〔2016〕80号）和《国务院办公厅关于印发2021年政务公开工作要点的通知》（国办发〔2021〕12号）的要求，紧紧围绕省委、省政府中心工作及社会群众关注关切，细化工作任务，完善工作制度，加大公开力度，加强解读回应，着力提升政府信息公开质量，推进拓宽政府信息公开渠道，不断增强政府信息公开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ascii="楷体" w:hAnsi="楷体" w:eastAsia="楷体" w:cs="楷体"/>
          <w:i w:val="0"/>
          <w:iCs w:val="0"/>
          <w:caps w:val="0"/>
          <w:color w:val="000000"/>
          <w:spacing w:val="0"/>
          <w:kern w:val="0"/>
          <w:sz w:val="32"/>
          <w:szCs w:val="32"/>
          <w:shd w:val="clear" w:fill="FFFFFF"/>
          <w:lang w:val="en-US" w:eastAsia="zh-CN" w:bidi="ar"/>
        </w:rPr>
        <w:t>（一）</w:t>
      </w:r>
      <w:r>
        <w:rPr>
          <w:rFonts w:hint="eastAsia" w:ascii="楷体" w:hAnsi="楷体" w:eastAsia="楷体" w:cs="楷体"/>
          <w:i w:val="0"/>
          <w:iCs w:val="0"/>
          <w:caps w:val="0"/>
          <w:color w:val="000000"/>
          <w:spacing w:val="0"/>
          <w:kern w:val="0"/>
          <w:sz w:val="32"/>
          <w:szCs w:val="32"/>
          <w:shd w:val="clear" w:fill="FFFFFF"/>
          <w:lang w:val="en-US" w:eastAsia="zh-CN" w:bidi="ar"/>
        </w:rPr>
        <w:t>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3"/>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bCs/>
          <w:i w:val="0"/>
          <w:iCs w:val="0"/>
          <w:caps w:val="0"/>
          <w:color w:val="000000"/>
          <w:spacing w:val="0"/>
          <w:kern w:val="0"/>
          <w:sz w:val="32"/>
          <w:szCs w:val="32"/>
          <w:shd w:val="clear" w:fill="FFFFFF"/>
          <w:lang w:val="en-US" w:eastAsia="zh-CN" w:bidi="ar"/>
        </w:rPr>
        <w:t>1.决策公开。</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结合党史学习教育开展“我为群众办实事”实践活动，通过党员干部大走访、听民意。收集整理全乡群众意见建议，最终确定了5件民生实事项目，明确完成时间、落实具体责任。并公开了2021年的5大民生实事项目进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3"/>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bCs/>
          <w:i w:val="0"/>
          <w:iCs w:val="0"/>
          <w:caps w:val="0"/>
          <w:color w:val="000000"/>
          <w:spacing w:val="0"/>
          <w:kern w:val="0"/>
          <w:sz w:val="32"/>
          <w:szCs w:val="32"/>
          <w:shd w:val="clear" w:fill="FFFFFF"/>
          <w:lang w:val="en-US" w:eastAsia="zh-CN" w:bidi="ar"/>
        </w:rPr>
        <w:t>2.管理公开。</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根据《万载县人民政府关于赋予乡镇（街道）首批县级审批服务执法权限的通知》（万府字[2020]90号）文件精神，对万载县赋予茭湖乡首批97项县级审批服务执法权限指导目录进行了公示。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3"/>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bCs/>
          <w:i w:val="0"/>
          <w:iCs w:val="0"/>
          <w:caps w:val="0"/>
          <w:color w:val="000000"/>
          <w:spacing w:val="0"/>
          <w:kern w:val="0"/>
          <w:sz w:val="32"/>
          <w:szCs w:val="32"/>
          <w:shd w:val="clear" w:fill="FFFFFF"/>
          <w:lang w:val="en-US" w:eastAsia="zh-CN" w:bidi="ar"/>
        </w:rPr>
        <w:t>3.服务公开。</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公开了涉及便民服务大厅的7项管理制度及《茭湖乡便民服务中心流程图》，方便群众根据需要办理具体业务。同时我乡7村1社区均配备完善了党群服务中心建设，配备了便民服务员，专职受理、解答群众办理事项，有效地简化了办事流程，真正地实现了在家门口享受便民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3"/>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bCs/>
          <w:i w:val="0"/>
          <w:iCs w:val="0"/>
          <w:caps w:val="0"/>
          <w:color w:val="000000"/>
          <w:spacing w:val="0"/>
          <w:kern w:val="0"/>
          <w:sz w:val="32"/>
          <w:szCs w:val="32"/>
          <w:shd w:val="clear" w:fill="FFFFFF"/>
          <w:lang w:val="en-US" w:eastAsia="zh-CN" w:bidi="ar"/>
        </w:rPr>
        <w:t>4.结果公开。</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公开了茭湖乡2021年5大民生实事进展情况，2021年3月5日在茭湖乡第十七届人民代表大会第九次会议、2021年9月12日在茭湖乡第十八届人民代表大会第一次会议上通过的政府工作报告，2021年上半年工作总结和下半年工作计划，2021年工作总结和2022年工作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3"/>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bCs/>
          <w:i w:val="0"/>
          <w:iCs w:val="0"/>
          <w:caps w:val="0"/>
          <w:color w:val="000000"/>
          <w:spacing w:val="0"/>
          <w:kern w:val="0"/>
          <w:sz w:val="32"/>
          <w:szCs w:val="32"/>
          <w:shd w:val="clear" w:fill="FFFFFF"/>
          <w:lang w:val="en-US" w:eastAsia="zh-CN" w:bidi="ar"/>
        </w:rPr>
        <w:t>5.执行公开。</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公开了《关于茭湖乡2020年财政预算执行情况 及2021年财政预算草案的报告(书面)》《关于茭湖乡2020年财政决算草案和2021年上半年财政预算执行情况的报告》《茭湖乡2020年部门财政决算公开》。政府网政务动态定期更新各项重点任务、民生实事等的落实情况，另外公开了疫情防控、乡村振兴、国土资源与环境、社会综合治理、社会公益事业等重点领域信息60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楷体" w:hAnsi="楷体" w:eastAsia="楷体" w:cs="楷体"/>
          <w:b w:val="0"/>
          <w:bCs w:val="0"/>
          <w:i w:val="0"/>
          <w:iCs w:val="0"/>
          <w:caps w:val="0"/>
          <w:color w:val="000000"/>
          <w:spacing w:val="0"/>
          <w:kern w:val="0"/>
          <w:sz w:val="32"/>
          <w:szCs w:val="32"/>
          <w:shd w:val="clear" w:fill="FFFFFF"/>
          <w:lang w:val="en-US" w:eastAsia="zh-CN" w:bidi="ar"/>
        </w:rPr>
        <w:t>（二）依申请公开。</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严格落实《茭湖乡依申请公开制度》，信息公开指南中明确网络、信函、传真等申请渠道，并保持畅通。今年收到2份自然人的依申请答复，在法定期限内依规范答复。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楷体" w:hAnsi="楷体" w:eastAsia="楷体" w:cs="楷体"/>
          <w:b w:val="0"/>
          <w:bCs w:val="0"/>
          <w:i w:val="0"/>
          <w:iCs w:val="0"/>
          <w:caps w:val="0"/>
          <w:color w:val="000000"/>
          <w:spacing w:val="0"/>
          <w:kern w:val="0"/>
          <w:sz w:val="32"/>
          <w:szCs w:val="32"/>
          <w:shd w:val="clear" w:fill="FFFFFF"/>
          <w:lang w:val="en-US" w:eastAsia="zh-CN" w:bidi="ar"/>
        </w:rPr>
        <w:t>（三）政府信息管理。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1.我乡在便民服务大厅打造了政务公开体验区，方便群众进行信息公开查询、服务指南查询、政策信息阅览、依申请公开受理、政府公报查询。建设了便民查阅点，群众可在信息公开资料架、政务公开专用电脑和一体机查询政务公开各项资料以及各类便民服务办理流程、根据需要填写代办事项申请；打造了政民互动服务点，可接待群众来访和当面办理依申请公开，同时设置了一间建议箱和建言登记办理登记册，方便群众及时反馈遇到的难点、堵点问题。全面梳理26个领域政务公开事项并编制好目录在政府网站发布。认真贯彻落实、首问责任制、限时办结制、责任追究制、“一次性告知”制、监督考核制。力争办事程序科学、民主、合理、简便、办事条件具体、明确，努力让办事群众“最多跑一次”，最大限度方便服务对象。接待群众做到文明、热情、主动，不推诿扯皮，不欺上瞒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2.数字化管理。通过政务动态定期更新重点工作进展情况，并把完成的具体数据公布。优化信息收集。加强各办工作联动，及时沟通现阶段重点信息和工作进展，加强信息发布的准确性和及时性。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3.规范信息审核发布制度。严格落实《茭湖乡信息公开制度》、《茭湖乡信息发布制度》、《茭湖乡信息审核制度》。严格保密审查，始终严格执行“先审查、后公开”等保密审查规定，把政府信息公开保密审查程序与公文运转程序、信息发布程序有机结合，确保从源头上把好保密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4.规范性文件清理。2021年茭湖乡未制定规范性文件。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楷体" w:hAnsi="楷体" w:eastAsia="楷体" w:cs="楷体"/>
          <w:b w:val="0"/>
          <w:bCs w:val="0"/>
          <w:i w:val="0"/>
          <w:iCs w:val="0"/>
          <w:caps w:val="0"/>
          <w:color w:val="000000"/>
          <w:spacing w:val="0"/>
          <w:kern w:val="0"/>
          <w:sz w:val="32"/>
          <w:szCs w:val="32"/>
          <w:shd w:val="clear" w:fill="FFFFFF"/>
          <w:lang w:val="en-US" w:eastAsia="zh-CN" w:bidi="ar"/>
        </w:rPr>
        <w:t>（四）平台建设。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1.充分利用政府门户网站第一平台作用。本年度在政府信息公开网站主动公开172条信息，其中公开指南1条、概况信息7条、政务动态32条、公告公示19条、统计数据5条、计划总结4条、法规文件11条、解读回应10条、重大决策预公开3条、重点领域信息公开60条、行政执法2条、财经信息10条、便民服务3条、制度建设5条、政府信息公开年度报告1条。2.同时针对群众需求，拓展多样化公开方式，主要通过乡、村宣传栏、公示栏、户主会等及时传达最新政策和重点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2.加强网站信息发布审核建设，严格落实《茭湖乡信息公开审核制度》，严格信息发布审核流程，保障信息公开准确和安全。对公开指南、概况信息、依申请公开和保密审查等方面工作进行自查自审，常态化更新完善主动公开目录，促进政务公开长效机制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楷体" w:hAnsi="楷体" w:eastAsia="楷体" w:cs="楷体"/>
          <w:b w:val="0"/>
          <w:bCs w:val="0"/>
          <w:i w:val="0"/>
          <w:iCs w:val="0"/>
          <w:caps w:val="0"/>
          <w:color w:val="000000"/>
          <w:spacing w:val="0"/>
          <w:kern w:val="0"/>
          <w:sz w:val="32"/>
          <w:szCs w:val="32"/>
          <w:shd w:val="clear" w:fill="FFFFFF"/>
          <w:lang w:val="en-US" w:eastAsia="zh-CN" w:bidi="ar"/>
        </w:rPr>
        <w:t>（五）监督保障。</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一是加强组织领导。明确一名领导分管政务信息公开工作，党政办具体负责本乡政务公开工作，安排1名干部具体负责政务信息公开工作。二是加强机制建设。按照上级要求，根据工作调整情况、概况信息变动情况及时更新各类信息，调整信息公开指南内容。三是加强监督检查。对政府信息公开情况定期检查，及时发现信息分类、信息内容等方面的问题，并及时整改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b w:val="0"/>
          <w:bCs w:val="0"/>
          <w:i w:val="0"/>
          <w:iCs w:val="0"/>
          <w:caps w:val="0"/>
          <w:color w:val="000000"/>
          <w:spacing w:val="0"/>
          <w:kern w:val="0"/>
          <w:sz w:val="32"/>
          <w:szCs w:val="32"/>
          <w:shd w:val="clear" w:fill="FFFFFF"/>
          <w:lang w:val="en-US" w:eastAsia="zh-CN" w:bidi="ar"/>
        </w:rPr>
        <w:t>二、主动公开政府信息情况</w:t>
      </w:r>
    </w:p>
    <w:tbl>
      <w:tblPr>
        <w:tblStyle w:val="4"/>
        <w:tblW w:w="8300" w:type="dxa"/>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075"/>
        <w:gridCol w:w="2075"/>
        <w:gridCol w:w="2075"/>
        <w:gridCol w:w="2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5" w:hRule="atLeast"/>
        </w:trPr>
        <w:tc>
          <w:tcPr>
            <w:tcW w:w="830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5" w:hRule="atLeast"/>
        </w:trPr>
        <w:tc>
          <w:tcPr>
            <w:tcW w:w="207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信息内容</w:t>
            </w:r>
          </w:p>
        </w:tc>
        <w:tc>
          <w:tcPr>
            <w:tcW w:w="207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本年</w:t>
            </w:r>
            <w:r>
              <w:rPr>
                <w:rFonts w:hint="eastAsia" w:ascii="宋体" w:hAnsi="宋体" w:eastAsia="宋体" w:cs="宋体"/>
                <w:i w:val="0"/>
                <w:iCs w:val="0"/>
                <w:caps w:val="0"/>
                <w:color w:val="333333"/>
                <w:spacing w:val="0"/>
                <w:kern w:val="0"/>
                <w:sz w:val="20"/>
                <w:szCs w:val="20"/>
                <w:lang w:val="en-US" w:eastAsia="zh-CN" w:bidi="ar"/>
              </w:rPr>
              <w:t>制发件数</w:t>
            </w:r>
          </w:p>
        </w:tc>
        <w:tc>
          <w:tcPr>
            <w:tcW w:w="207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本年废止件数</w:t>
            </w:r>
          </w:p>
        </w:tc>
        <w:tc>
          <w:tcPr>
            <w:tcW w:w="207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现行有效件</w:t>
            </w:r>
            <w:r>
              <w:rPr>
                <w:rFonts w:hint="eastAsia" w:ascii="宋体" w:hAnsi="宋体" w:eastAsia="宋体" w:cs="宋体"/>
                <w:i w:val="0"/>
                <w:iCs w:val="0"/>
                <w:caps w:val="0"/>
                <w:color w:val="333333"/>
                <w:spacing w:val="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207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规章</w:t>
            </w:r>
          </w:p>
        </w:tc>
        <w:tc>
          <w:tcPr>
            <w:tcW w:w="207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0</w:t>
            </w:r>
          </w:p>
        </w:tc>
        <w:tc>
          <w:tcPr>
            <w:tcW w:w="207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0</w:t>
            </w:r>
          </w:p>
        </w:tc>
        <w:tc>
          <w:tcPr>
            <w:tcW w:w="207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ascii="Calibri" w:hAnsi="Calibri" w:eastAsia="宋体" w:cs="Calibri"/>
                <w:i w:val="0"/>
                <w:iCs w:val="0"/>
                <w:caps w:val="0"/>
                <w:color w:val="333333"/>
                <w:spacing w:val="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207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行政规范性文件</w:t>
            </w:r>
          </w:p>
        </w:tc>
        <w:tc>
          <w:tcPr>
            <w:tcW w:w="207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0</w:t>
            </w:r>
          </w:p>
        </w:tc>
        <w:tc>
          <w:tcPr>
            <w:tcW w:w="207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0</w:t>
            </w:r>
          </w:p>
        </w:tc>
        <w:tc>
          <w:tcPr>
            <w:tcW w:w="207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83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207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信息内容</w:t>
            </w:r>
          </w:p>
        </w:tc>
        <w:tc>
          <w:tcPr>
            <w:tcW w:w="622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207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行政许可</w:t>
            </w:r>
          </w:p>
        </w:tc>
        <w:tc>
          <w:tcPr>
            <w:tcW w:w="622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83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207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000000"/>
                <w:spacing w:val="0"/>
                <w:kern w:val="0"/>
                <w:sz w:val="20"/>
                <w:szCs w:val="20"/>
                <w:lang w:val="en-US" w:eastAsia="zh-CN" w:bidi="ar"/>
              </w:rPr>
              <w:t>信息内容</w:t>
            </w:r>
          </w:p>
        </w:tc>
        <w:tc>
          <w:tcPr>
            <w:tcW w:w="6225" w:type="dxa"/>
            <w:gridSpan w:val="3"/>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000000"/>
                <w:spacing w:val="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207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行政处罚</w:t>
            </w:r>
          </w:p>
        </w:tc>
        <w:tc>
          <w:tcPr>
            <w:tcW w:w="622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207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行政强制</w:t>
            </w:r>
          </w:p>
        </w:tc>
        <w:tc>
          <w:tcPr>
            <w:tcW w:w="622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83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trPr>
        <w:tc>
          <w:tcPr>
            <w:tcW w:w="207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信息内容</w:t>
            </w:r>
          </w:p>
        </w:tc>
        <w:tc>
          <w:tcPr>
            <w:tcW w:w="622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07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000000"/>
                <w:spacing w:val="0"/>
                <w:kern w:val="0"/>
                <w:sz w:val="20"/>
                <w:szCs w:val="20"/>
                <w:lang w:val="en-US" w:eastAsia="zh-CN" w:bidi="ar"/>
              </w:rPr>
              <w:t>行政事业性收费</w:t>
            </w:r>
          </w:p>
        </w:tc>
        <w:tc>
          <w:tcPr>
            <w:tcW w:w="622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225" w:beforeAutospacing="0" w:after="225" w:afterAutospacing="0" w:line="560" w:lineRule="exact"/>
              <w:ind w:left="0" w:right="0"/>
              <w:jc w:val="center"/>
              <w:textAlignment w:val="auto"/>
            </w:pPr>
            <w:r>
              <w:rPr>
                <w:rFonts w:hint="eastAsia" w:ascii="宋体" w:hAnsi="宋体" w:eastAsia="宋体" w:cs="宋体"/>
                <w:i w:val="0"/>
                <w:iCs w:val="0"/>
                <w:caps w:val="0"/>
                <w:color w:val="333333"/>
                <w:spacing w:val="0"/>
                <w:kern w:val="0"/>
                <w:sz w:val="24"/>
                <w:szCs w:val="24"/>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0"/>
        <w:jc w:val="both"/>
        <w:textAlignment w:val="auto"/>
        <w:rPr>
          <w:rFonts w:hint="eastAsia" w:ascii="微软雅黑" w:hAnsi="微软雅黑" w:eastAsia="微软雅黑" w:cs="微软雅黑"/>
          <w:i w:val="0"/>
          <w:iCs w:val="0"/>
          <w:caps w:val="0"/>
          <w:color w:val="000000"/>
          <w:spacing w:val="0"/>
          <w:sz w:val="26"/>
          <w:szCs w:val="26"/>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i w:val="0"/>
          <w:iCs w:val="0"/>
          <w:caps w:val="0"/>
          <w:color w:val="333333"/>
          <w:spacing w:val="0"/>
          <w:sz w:val="32"/>
          <w:szCs w:val="32"/>
          <w:shd w:val="clear" w:fill="FFFFFF"/>
        </w:rPr>
        <w:t>三、收到和处理政府信息公开申请情况</w:t>
      </w:r>
    </w:p>
    <w:tbl>
      <w:tblPr>
        <w:tblStyle w:val="4"/>
        <w:tblW w:w="849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93"/>
        <w:gridCol w:w="851"/>
        <w:gridCol w:w="2595"/>
        <w:gridCol w:w="798"/>
        <w:gridCol w:w="690"/>
        <w:gridCol w:w="555"/>
        <w:gridCol w:w="636"/>
        <w:gridCol w:w="609"/>
        <w:gridCol w:w="488"/>
        <w:gridCol w:w="5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4139" w:type="dxa"/>
            <w:gridSpan w:val="3"/>
            <w:vMerge w:val="restart"/>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楷体" w:hAnsi="楷体" w:eastAsia="楷体" w:cs="楷体"/>
                <w:i w:val="0"/>
                <w:iCs w:val="0"/>
                <w:caps w:val="0"/>
                <w:color w:val="333333"/>
                <w:spacing w:val="0"/>
                <w:kern w:val="0"/>
                <w:sz w:val="20"/>
                <w:szCs w:val="20"/>
                <w:lang w:val="en-US" w:eastAsia="zh-CN" w:bidi="ar"/>
              </w:rPr>
              <w:t>（本列数据的勾稽关系为：第一项加第二项之和，等于第三项加第四项之和）</w:t>
            </w:r>
          </w:p>
        </w:tc>
        <w:tc>
          <w:tcPr>
            <w:tcW w:w="4360" w:type="dxa"/>
            <w:gridSpan w:val="7"/>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4139"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798" w:type="dxa"/>
            <w:vMerge w:val="restar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自然人</w:t>
            </w:r>
          </w:p>
        </w:tc>
        <w:tc>
          <w:tcPr>
            <w:tcW w:w="2978" w:type="dxa"/>
            <w:gridSpan w:val="5"/>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法人或其他组织</w:t>
            </w:r>
          </w:p>
        </w:tc>
        <w:tc>
          <w:tcPr>
            <w:tcW w:w="584" w:type="dxa"/>
            <w:vMerge w:val="restart"/>
            <w:tcBorders>
              <w:top w:val="single"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28" w:hRule="atLeast"/>
        </w:trPr>
        <w:tc>
          <w:tcPr>
            <w:tcW w:w="4139"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798" w:type="dxa"/>
            <w:vMerge w:val="continue"/>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企业</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机构</w:t>
            </w:r>
          </w:p>
        </w:tc>
        <w:tc>
          <w:tcPr>
            <w:tcW w:w="636"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社会公益组织</w:t>
            </w:r>
          </w:p>
        </w:tc>
        <w:tc>
          <w:tcPr>
            <w:tcW w:w="609"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法律服务机构</w:t>
            </w:r>
          </w:p>
        </w:tc>
        <w:tc>
          <w:tcPr>
            <w:tcW w:w="488"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其他</w:t>
            </w:r>
          </w:p>
        </w:tc>
        <w:tc>
          <w:tcPr>
            <w:tcW w:w="584" w:type="dxa"/>
            <w:vMerge w:val="continue"/>
            <w:tcBorders>
              <w:top w:val="single"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4139"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一、本年新收政府信息公开申请数量</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微软雅黑" w:cs="Calibri"/>
                <w:i w:val="0"/>
                <w:iCs w:val="0"/>
                <w:caps w:val="0"/>
                <w:color w:val="333333"/>
                <w:spacing w:val="0"/>
                <w:kern w:val="0"/>
                <w:sz w:val="20"/>
                <w:szCs w:val="20"/>
                <w:lang w:val="en-US" w:eastAsia="zh-CN" w:bidi="ar"/>
              </w:rPr>
              <w:t>2</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微软雅黑" w:cs="Calibri"/>
                <w:i w:val="0"/>
                <w:iCs w:val="0"/>
                <w:caps w:val="0"/>
                <w:color w:val="333333"/>
                <w:spacing w:val="0"/>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4139"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二、上年结转政府信息公开申请数量</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restart"/>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三、本年度办理结果</w:t>
            </w:r>
          </w:p>
        </w:tc>
        <w:tc>
          <w:tcPr>
            <w:tcW w:w="3446"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（一）予以公开</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微软雅黑" w:cs="Calibri"/>
                <w:i w:val="0"/>
                <w:iCs w:val="0"/>
                <w:caps w:val="0"/>
                <w:color w:val="333333"/>
                <w:spacing w:val="0"/>
                <w:kern w:val="0"/>
                <w:sz w:val="20"/>
                <w:szCs w:val="20"/>
                <w:lang w:val="en-US" w:eastAsia="zh-CN" w:bidi="ar"/>
              </w:rPr>
              <w:t>2</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微软雅黑" w:cs="Calibri"/>
                <w:i w:val="0"/>
                <w:iCs w:val="0"/>
                <w:caps w:val="0"/>
                <w:color w:val="333333"/>
                <w:spacing w:val="0"/>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25"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3446"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（二）部分公开</w:t>
            </w:r>
            <w:r>
              <w:rPr>
                <w:rFonts w:hint="eastAsia" w:ascii="楷体" w:hAnsi="楷体" w:eastAsia="楷体" w:cs="楷体"/>
                <w:i w:val="0"/>
                <w:iCs w:val="0"/>
                <w:caps w:val="0"/>
                <w:color w:val="333333"/>
                <w:spacing w:val="0"/>
                <w:kern w:val="0"/>
                <w:sz w:val="20"/>
                <w:szCs w:val="20"/>
                <w:lang w:val="en-US" w:eastAsia="zh-CN" w:bidi="ar"/>
              </w:rPr>
              <w:t>（区分处理的，只计这一情形，不计其他情形）</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（三）不予公开</w:t>
            </w: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1.属于国家秘密</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2.其他法律行政法规禁止公开</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3.危及“三安全一稳定”</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4.保护第三方合法权益</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5.属于三类内部事务信息</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6.属于四类过程性信息</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7.属于行政执法案卷</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8.属于行政查询事项</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（四）无法提供</w:t>
            </w: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1.本机关不掌握相关政府信息</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2.没有现成信息需要另行制作</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3.补正后申请内容仍不明确</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（五）不予处理</w:t>
            </w: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1.信访举报投诉类申请</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2.重复申请</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3.要求提供公开出版物</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4.无正当理由大量反复申请</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75"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5.要求行政机关确认或重新出具已获取信息</w:t>
            </w:r>
          </w:p>
        </w:tc>
        <w:tc>
          <w:tcPr>
            <w:tcW w:w="79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28"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（六）其他处理</w:t>
            </w: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1.申请人无正当理由逾期不补正、行政机关不再处理其政府信息公开申请</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28"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2.申请人逾期未按收费通知要求缴纳费用、行政机关不再处理其政府信息公开申请</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851"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259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3.其他</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3" w:hRule="atLeast"/>
        </w:trPr>
        <w:tc>
          <w:tcPr>
            <w:tcW w:w="693"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3446"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（七）总计</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微软雅黑" w:cs="Calibri"/>
                <w:i w:val="0"/>
                <w:iCs w:val="0"/>
                <w:caps w:val="0"/>
                <w:color w:val="333333"/>
                <w:spacing w:val="0"/>
                <w:kern w:val="0"/>
                <w:sz w:val="20"/>
                <w:szCs w:val="20"/>
                <w:lang w:val="en-US" w:eastAsia="zh-CN" w:bidi="ar"/>
              </w:rPr>
              <w:t>2</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微软雅黑" w:cs="Calibri"/>
                <w:i w:val="0"/>
                <w:iCs w:val="0"/>
                <w:caps w:val="0"/>
                <w:color w:val="000000"/>
                <w:spacing w:val="0"/>
                <w:kern w:val="0"/>
                <w:sz w:val="21"/>
                <w:szCs w:val="21"/>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2" w:hRule="atLeast"/>
        </w:trPr>
        <w:tc>
          <w:tcPr>
            <w:tcW w:w="4139"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i w:val="0"/>
                <w:iCs w:val="0"/>
                <w:caps w:val="0"/>
                <w:color w:val="333333"/>
                <w:spacing w:val="0"/>
                <w:kern w:val="0"/>
                <w:sz w:val="20"/>
                <w:szCs w:val="20"/>
                <w:lang w:val="en-US" w:eastAsia="zh-CN" w:bidi="ar"/>
              </w:rPr>
              <w:t>四、结转下年度继续办理</w:t>
            </w:r>
          </w:p>
        </w:tc>
        <w:tc>
          <w:tcPr>
            <w:tcW w:w="79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5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3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60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4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i w:val="0"/>
                <w:iCs w:val="0"/>
                <w:caps w:val="0"/>
                <w:color w:val="333333"/>
                <w:spacing w:val="0"/>
                <w:kern w:val="0"/>
                <w:sz w:val="20"/>
                <w:szCs w:val="20"/>
                <w:lang w:val="en-US" w:eastAsia="zh-CN" w:bidi="ar"/>
              </w:rPr>
              <w:t>0</w:t>
            </w:r>
          </w:p>
        </w:tc>
        <w:tc>
          <w:tcPr>
            <w:tcW w:w="58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225" w:beforeAutospacing="0" w:after="225" w:afterAutospacing="0" w:line="560" w:lineRule="exact"/>
              <w:ind w:left="0" w:right="0"/>
              <w:jc w:val="center"/>
              <w:textAlignment w:val="auto"/>
            </w:pPr>
            <w:r>
              <w:rPr>
                <w:rFonts w:hint="eastAsia" w:ascii="宋体" w:hAnsi="宋体" w:eastAsia="宋体" w:cs="宋体"/>
                <w:i w:val="0"/>
                <w:iCs w:val="0"/>
                <w:caps w:val="0"/>
                <w:color w:val="333333"/>
                <w:spacing w:val="0"/>
                <w:kern w:val="0"/>
                <w:sz w:val="24"/>
                <w:szCs w:val="24"/>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i w:val="0"/>
          <w:iCs w:val="0"/>
          <w:caps w:val="0"/>
          <w:color w:val="333333"/>
          <w:spacing w:val="0"/>
          <w:sz w:val="32"/>
          <w:szCs w:val="32"/>
          <w:shd w:val="clear" w:fill="FFFFFF"/>
        </w:rPr>
        <w:t>四、政府信息公开行政复议、行政诉讼情况</w:t>
      </w:r>
    </w:p>
    <w:tbl>
      <w:tblPr>
        <w:tblStyle w:val="4"/>
        <w:tblW w:w="855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69"/>
        <w:gridCol w:w="569"/>
        <w:gridCol w:w="569"/>
        <w:gridCol w:w="569"/>
        <w:gridCol w:w="573"/>
        <w:gridCol w:w="569"/>
        <w:gridCol w:w="569"/>
        <w:gridCol w:w="570"/>
        <w:gridCol w:w="570"/>
        <w:gridCol w:w="574"/>
        <w:gridCol w:w="571"/>
        <w:gridCol w:w="571"/>
        <w:gridCol w:w="571"/>
        <w:gridCol w:w="571"/>
        <w:gridCol w:w="5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07" w:hRule="atLeast"/>
        </w:trPr>
        <w:tc>
          <w:tcPr>
            <w:tcW w:w="2849"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行政复议</w:t>
            </w:r>
          </w:p>
        </w:tc>
        <w:tc>
          <w:tcPr>
            <w:tcW w:w="5710"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6" w:hRule="atLeast"/>
        </w:trPr>
        <w:tc>
          <w:tcPr>
            <w:tcW w:w="56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结果维持</w:t>
            </w:r>
          </w:p>
        </w:tc>
        <w:tc>
          <w:tcPr>
            <w:tcW w:w="569"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结果</w:t>
            </w:r>
            <w:r>
              <w:rPr>
                <w:rFonts w:hint="eastAsia" w:ascii="宋体" w:hAnsi="宋体" w:eastAsia="宋体" w:cs="宋体"/>
                <w:i w:val="0"/>
                <w:iCs w:val="0"/>
                <w:caps w:val="0"/>
                <w:color w:val="333333"/>
                <w:spacing w:val="0"/>
                <w:kern w:val="0"/>
                <w:sz w:val="20"/>
                <w:szCs w:val="20"/>
                <w:lang w:val="en-US" w:eastAsia="zh-CN" w:bidi="ar"/>
              </w:rPr>
              <w:br w:type="textWrapping"/>
            </w:r>
            <w:r>
              <w:rPr>
                <w:rFonts w:hint="eastAsia" w:ascii="宋体" w:hAnsi="宋体" w:eastAsia="宋体" w:cs="宋体"/>
                <w:i w:val="0"/>
                <w:iCs w:val="0"/>
                <w:caps w:val="0"/>
                <w:color w:val="333333"/>
                <w:spacing w:val="0"/>
                <w:kern w:val="0"/>
                <w:sz w:val="20"/>
                <w:szCs w:val="20"/>
                <w:lang w:val="en-US" w:eastAsia="zh-CN" w:bidi="ar"/>
              </w:rPr>
              <w:t>纠正</w:t>
            </w:r>
          </w:p>
        </w:tc>
        <w:tc>
          <w:tcPr>
            <w:tcW w:w="56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其他</w:t>
            </w:r>
            <w:r>
              <w:rPr>
                <w:rFonts w:hint="eastAsia" w:ascii="宋体" w:hAnsi="宋体" w:eastAsia="宋体" w:cs="宋体"/>
                <w:i w:val="0"/>
                <w:iCs w:val="0"/>
                <w:caps w:val="0"/>
                <w:color w:val="333333"/>
                <w:spacing w:val="0"/>
                <w:kern w:val="0"/>
                <w:sz w:val="20"/>
                <w:szCs w:val="20"/>
                <w:lang w:val="en-US" w:eastAsia="zh-CN" w:bidi="ar"/>
              </w:rPr>
              <w:br w:type="textWrapping"/>
            </w:r>
            <w:r>
              <w:rPr>
                <w:rFonts w:hint="eastAsia" w:ascii="宋体" w:hAnsi="宋体" w:eastAsia="宋体" w:cs="宋体"/>
                <w:i w:val="0"/>
                <w:iCs w:val="0"/>
                <w:caps w:val="0"/>
                <w:color w:val="333333"/>
                <w:spacing w:val="0"/>
                <w:kern w:val="0"/>
                <w:sz w:val="20"/>
                <w:szCs w:val="20"/>
                <w:lang w:val="en-US" w:eastAsia="zh-CN" w:bidi="ar"/>
              </w:rPr>
              <w:t>结果</w:t>
            </w:r>
          </w:p>
        </w:tc>
        <w:tc>
          <w:tcPr>
            <w:tcW w:w="56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尚未</w:t>
            </w:r>
            <w:r>
              <w:rPr>
                <w:rFonts w:hint="eastAsia" w:ascii="宋体" w:hAnsi="宋体" w:eastAsia="宋体" w:cs="宋体"/>
                <w:i w:val="0"/>
                <w:iCs w:val="0"/>
                <w:caps w:val="0"/>
                <w:color w:val="333333"/>
                <w:spacing w:val="0"/>
                <w:kern w:val="0"/>
                <w:sz w:val="20"/>
                <w:szCs w:val="20"/>
                <w:lang w:val="en-US" w:eastAsia="zh-CN" w:bidi="ar"/>
              </w:rPr>
              <w:br w:type="textWrapping"/>
            </w:r>
            <w:r>
              <w:rPr>
                <w:rFonts w:hint="eastAsia" w:ascii="宋体" w:hAnsi="宋体" w:eastAsia="宋体" w:cs="宋体"/>
                <w:i w:val="0"/>
                <w:iCs w:val="0"/>
                <w:caps w:val="0"/>
                <w:color w:val="333333"/>
                <w:spacing w:val="0"/>
                <w:kern w:val="0"/>
                <w:sz w:val="20"/>
                <w:szCs w:val="20"/>
                <w:lang w:val="en-US" w:eastAsia="zh-CN" w:bidi="ar"/>
              </w:rPr>
              <w:t>审结</w:t>
            </w:r>
          </w:p>
        </w:tc>
        <w:tc>
          <w:tcPr>
            <w:tcW w:w="57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总计</w:t>
            </w:r>
          </w:p>
        </w:tc>
        <w:tc>
          <w:tcPr>
            <w:tcW w:w="2852"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未经复议直接起诉</w:t>
            </w:r>
          </w:p>
        </w:tc>
        <w:tc>
          <w:tcPr>
            <w:tcW w:w="2858"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6" w:hRule="atLeast"/>
        </w:trPr>
        <w:tc>
          <w:tcPr>
            <w:tcW w:w="56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569"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569"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569"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573"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微软雅黑" w:hAnsi="微软雅黑" w:eastAsia="微软雅黑" w:cs="微软雅黑"/>
                <w:i w:val="0"/>
                <w:iCs w:val="0"/>
                <w:caps w:val="0"/>
                <w:color w:val="000000"/>
                <w:spacing w:val="0"/>
                <w:sz w:val="26"/>
                <w:szCs w:val="26"/>
              </w:rPr>
            </w:pPr>
          </w:p>
        </w:tc>
        <w:tc>
          <w:tcPr>
            <w:tcW w:w="5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结果</w:t>
            </w:r>
            <w:r>
              <w:rPr>
                <w:rFonts w:hint="eastAsia" w:ascii="宋体" w:hAnsi="宋体" w:eastAsia="宋体" w:cs="宋体"/>
                <w:i w:val="0"/>
                <w:iCs w:val="0"/>
                <w:caps w:val="0"/>
                <w:color w:val="333333"/>
                <w:spacing w:val="0"/>
                <w:kern w:val="0"/>
                <w:sz w:val="20"/>
                <w:szCs w:val="20"/>
                <w:lang w:val="en-US" w:eastAsia="zh-CN" w:bidi="ar"/>
              </w:rPr>
              <w:br w:type="textWrapping"/>
            </w:r>
            <w:r>
              <w:rPr>
                <w:rFonts w:hint="eastAsia" w:ascii="宋体" w:hAnsi="宋体" w:eastAsia="宋体" w:cs="宋体"/>
                <w:i w:val="0"/>
                <w:iCs w:val="0"/>
                <w:caps w:val="0"/>
                <w:color w:val="333333"/>
                <w:spacing w:val="0"/>
                <w:kern w:val="0"/>
                <w:sz w:val="20"/>
                <w:szCs w:val="20"/>
                <w:lang w:val="en-US" w:eastAsia="zh-CN" w:bidi="ar"/>
              </w:rPr>
              <w:t>维持</w:t>
            </w:r>
          </w:p>
        </w:tc>
        <w:tc>
          <w:tcPr>
            <w:tcW w:w="5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结果</w:t>
            </w:r>
            <w:r>
              <w:rPr>
                <w:rFonts w:hint="eastAsia" w:ascii="宋体" w:hAnsi="宋体" w:eastAsia="宋体" w:cs="宋体"/>
                <w:i w:val="0"/>
                <w:iCs w:val="0"/>
                <w:caps w:val="0"/>
                <w:color w:val="333333"/>
                <w:spacing w:val="0"/>
                <w:kern w:val="0"/>
                <w:sz w:val="20"/>
                <w:szCs w:val="20"/>
                <w:lang w:val="en-US" w:eastAsia="zh-CN" w:bidi="ar"/>
              </w:rPr>
              <w:br w:type="textWrapping"/>
            </w:r>
            <w:r>
              <w:rPr>
                <w:rFonts w:hint="eastAsia" w:ascii="宋体" w:hAnsi="宋体" w:eastAsia="宋体" w:cs="宋体"/>
                <w:i w:val="0"/>
                <w:iCs w:val="0"/>
                <w:caps w:val="0"/>
                <w:color w:val="333333"/>
                <w:spacing w:val="0"/>
                <w:kern w:val="0"/>
                <w:sz w:val="20"/>
                <w:szCs w:val="20"/>
                <w:lang w:val="en-US" w:eastAsia="zh-CN" w:bidi="ar"/>
              </w:rPr>
              <w:t>纠正</w:t>
            </w:r>
          </w:p>
        </w:tc>
        <w:tc>
          <w:tcPr>
            <w:tcW w:w="57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其他</w:t>
            </w:r>
            <w:r>
              <w:rPr>
                <w:rFonts w:hint="eastAsia" w:ascii="宋体" w:hAnsi="宋体" w:eastAsia="宋体" w:cs="宋体"/>
                <w:i w:val="0"/>
                <w:iCs w:val="0"/>
                <w:caps w:val="0"/>
                <w:color w:val="333333"/>
                <w:spacing w:val="0"/>
                <w:kern w:val="0"/>
                <w:sz w:val="20"/>
                <w:szCs w:val="20"/>
                <w:lang w:val="en-US" w:eastAsia="zh-CN" w:bidi="ar"/>
              </w:rPr>
              <w:br w:type="textWrapping"/>
            </w:r>
            <w:r>
              <w:rPr>
                <w:rFonts w:hint="eastAsia" w:ascii="宋体" w:hAnsi="宋体" w:eastAsia="宋体" w:cs="宋体"/>
                <w:i w:val="0"/>
                <w:iCs w:val="0"/>
                <w:caps w:val="0"/>
                <w:color w:val="333333"/>
                <w:spacing w:val="0"/>
                <w:kern w:val="0"/>
                <w:sz w:val="20"/>
                <w:szCs w:val="20"/>
                <w:lang w:val="en-US" w:eastAsia="zh-CN" w:bidi="ar"/>
              </w:rPr>
              <w:t>结果</w:t>
            </w:r>
          </w:p>
        </w:tc>
        <w:tc>
          <w:tcPr>
            <w:tcW w:w="57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尚未</w:t>
            </w:r>
            <w:r>
              <w:rPr>
                <w:rFonts w:hint="eastAsia" w:ascii="宋体" w:hAnsi="宋体" w:eastAsia="宋体" w:cs="宋体"/>
                <w:i w:val="0"/>
                <w:iCs w:val="0"/>
                <w:caps w:val="0"/>
                <w:color w:val="333333"/>
                <w:spacing w:val="0"/>
                <w:kern w:val="0"/>
                <w:sz w:val="20"/>
                <w:szCs w:val="20"/>
                <w:lang w:val="en-US" w:eastAsia="zh-CN" w:bidi="ar"/>
              </w:rPr>
              <w:br w:type="textWrapping"/>
            </w:r>
            <w:r>
              <w:rPr>
                <w:rFonts w:hint="eastAsia" w:ascii="宋体" w:hAnsi="宋体" w:eastAsia="宋体" w:cs="宋体"/>
                <w:i w:val="0"/>
                <w:iCs w:val="0"/>
                <w:caps w:val="0"/>
                <w:color w:val="333333"/>
                <w:spacing w:val="0"/>
                <w:kern w:val="0"/>
                <w:sz w:val="20"/>
                <w:szCs w:val="20"/>
                <w:lang w:val="en-US" w:eastAsia="zh-CN" w:bidi="ar"/>
              </w:rPr>
              <w:t>审结</w:t>
            </w:r>
          </w:p>
        </w:tc>
        <w:tc>
          <w:tcPr>
            <w:tcW w:w="57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000000"/>
                <w:spacing w:val="0"/>
                <w:kern w:val="0"/>
                <w:sz w:val="20"/>
                <w:szCs w:val="20"/>
                <w:lang w:val="en-US" w:eastAsia="zh-CN" w:bidi="ar"/>
              </w:rPr>
              <w:t>总计</w:t>
            </w:r>
          </w:p>
        </w:tc>
        <w:tc>
          <w:tcPr>
            <w:tcW w:w="57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结果</w:t>
            </w:r>
            <w:r>
              <w:rPr>
                <w:rFonts w:hint="eastAsia" w:ascii="宋体" w:hAnsi="宋体" w:eastAsia="宋体" w:cs="宋体"/>
                <w:i w:val="0"/>
                <w:iCs w:val="0"/>
                <w:caps w:val="0"/>
                <w:color w:val="333333"/>
                <w:spacing w:val="0"/>
                <w:kern w:val="0"/>
                <w:sz w:val="20"/>
                <w:szCs w:val="20"/>
                <w:lang w:val="en-US" w:eastAsia="zh-CN" w:bidi="ar"/>
              </w:rPr>
              <w:br w:type="textWrapping"/>
            </w:r>
            <w:r>
              <w:rPr>
                <w:rFonts w:hint="eastAsia" w:ascii="宋体" w:hAnsi="宋体" w:eastAsia="宋体" w:cs="宋体"/>
                <w:i w:val="0"/>
                <w:iCs w:val="0"/>
                <w:caps w:val="0"/>
                <w:color w:val="333333"/>
                <w:spacing w:val="0"/>
                <w:kern w:val="0"/>
                <w:sz w:val="20"/>
                <w:szCs w:val="20"/>
                <w:lang w:val="en-US" w:eastAsia="zh-CN" w:bidi="ar"/>
              </w:rPr>
              <w:t>维持</w:t>
            </w:r>
          </w:p>
        </w:tc>
        <w:tc>
          <w:tcPr>
            <w:tcW w:w="57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结果</w:t>
            </w:r>
            <w:r>
              <w:rPr>
                <w:rFonts w:hint="eastAsia" w:ascii="宋体" w:hAnsi="宋体" w:eastAsia="宋体" w:cs="宋体"/>
                <w:i w:val="0"/>
                <w:iCs w:val="0"/>
                <w:caps w:val="0"/>
                <w:color w:val="333333"/>
                <w:spacing w:val="0"/>
                <w:kern w:val="0"/>
                <w:sz w:val="20"/>
                <w:szCs w:val="20"/>
                <w:lang w:val="en-US" w:eastAsia="zh-CN" w:bidi="ar"/>
              </w:rPr>
              <w:br w:type="textWrapping"/>
            </w:r>
            <w:r>
              <w:rPr>
                <w:rFonts w:hint="eastAsia" w:ascii="宋体" w:hAnsi="宋体" w:eastAsia="宋体" w:cs="宋体"/>
                <w:i w:val="0"/>
                <w:iCs w:val="0"/>
                <w:caps w:val="0"/>
                <w:color w:val="333333"/>
                <w:spacing w:val="0"/>
                <w:kern w:val="0"/>
                <w:sz w:val="20"/>
                <w:szCs w:val="20"/>
                <w:lang w:val="en-US" w:eastAsia="zh-CN" w:bidi="ar"/>
              </w:rPr>
              <w:t>纠正</w:t>
            </w:r>
          </w:p>
        </w:tc>
        <w:tc>
          <w:tcPr>
            <w:tcW w:w="57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000000"/>
                <w:spacing w:val="0"/>
                <w:kern w:val="0"/>
                <w:sz w:val="20"/>
                <w:szCs w:val="20"/>
                <w:lang w:val="en-US" w:eastAsia="zh-CN" w:bidi="ar"/>
              </w:rPr>
              <w:t>其他</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结果</w:t>
            </w:r>
          </w:p>
        </w:tc>
        <w:tc>
          <w:tcPr>
            <w:tcW w:w="57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333333"/>
                <w:spacing w:val="0"/>
                <w:kern w:val="0"/>
                <w:sz w:val="20"/>
                <w:szCs w:val="20"/>
                <w:lang w:val="en-US" w:eastAsia="zh-CN" w:bidi="ar"/>
              </w:rPr>
              <w:t>尚未</w:t>
            </w:r>
            <w:r>
              <w:rPr>
                <w:rFonts w:hint="eastAsia" w:ascii="宋体" w:hAnsi="宋体" w:eastAsia="宋体" w:cs="宋体"/>
                <w:i w:val="0"/>
                <w:iCs w:val="0"/>
                <w:caps w:val="0"/>
                <w:color w:val="333333"/>
                <w:spacing w:val="0"/>
                <w:kern w:val="0"/>
                <w:sz w:val="20"/>
                <w:szCs w:val="20"/>
                <w:lang w:val="en-US" w:eastAsia="zh-CN" w:bidi="ar"/>
              </w:rPr>
              <w:br w:type="textWrapping"/>
            </w:r>
            <w:r>
              <w:rPr>
                <w:rFonts w:hint="eastAsia" w:ascii="宋体" w:hAnsi="宋体" w:eastAsia="宋体" w:cs="宋体"/>
                <w:i w:val="0"/>
                <w:iCs w:val="0"/>
                <w:caps w:val="0"/>
                <w:color w:val="333333"/>
                <w:spacing w:val="0"/>
                <w:kern w:val="0"/>
                <w:sz w:val="20"/>
                <w:szCs w:val="20"/>
                <w:lang w:val="en-US" w:eastAsia="zh-CN" w:bidi="ar"/>
              </w:rPr>
              <w:t>审结</w:t>
            </w:r>
          </w:p>
        </w:tc>
        <w:tc>
          <w:tcPr>
            <w:tcW w:w="57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i w:val="0"/>
                <w:iCs w:val="0"/>
                <w:caps w:val="0"/>
                <w:color w:val="000000"/>
                <w:spacing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5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kern w:val="0"/>
                <w:sz w:val="20"/>
                <w:szCs w:val="20"/>
                <w:lang w:val="en-US" w:eastAsia="zh-CN" w:bidi="ar"/>
              </w:rPr>
              <w:t>0</w:t>
            </w:r>
          </w:p>
        </w:tc>
        <w:tc>
          <w:tcPr>
            <w:tcW w:w="5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225" w:beforeAutospacing="0" w:after="225" w:afterAutospacing="0" w:line="560" w:lineRule="exact"/>
              <w:ind w:left="0" w:right="0"/>
              <w:jc w:val="center"/>
              <w:textAlignment w:val="auto"/>
            </w:pPr>
            <w:r>
              <w:rPr>
                <w:rFonts w:hint="eastAsia" w:ascii="宋体" w:hAnsi="宋体" w:eastAsia="宋体" w:cs="宋体"/>
                <w:i w:val="0"/>
                <w:iCs w:val="0"/>
                <w:caps w:val="0"/>
                <w:color w:val="333333"/>
                <w:spacing w:val="0"/>
                <w:kern w:val="0"/>
                <w:sz w:val="24"/>
                <w:szCs w:val="24"/>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i w:val="0"/>
          <w:iCs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i w:val="0"/>
          <w:iCs w:val="0"/>
          <w:caps w:val="0"/>
          <w:color w:val="333333"/>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555"/>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i w:val="0"/>
          <w:iCs w:val="0"/>
          <w:caps w:val="0"/>
          <w:color w:val="333333"/>
          <w:spacing w:val="0"/>
          <w:sz w:val="32"/>
          <w:szCs w:val="32"/>
          <w:shd w:val="clear" w:fill="FFFFFF"/>
        </w:rPr>
        <w:t>（一）工作中存在的主要问题和困难：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225" w:afterAutospacing="0" w:line="560" w:lineRule="exact"/>
        <w:ind w:left="0" w:right="0" w:firstLine="0"/>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i w:val="0"/>
          <w:iCs w:val="0"/>
          <w:caps w:val="0"/>
          <w:color w:val="333333"/>
          <w:spacing w:val="0"/>
          <w:sz w:val="32"/>
          <w:szCs w:val="32"/>
          <w:shd w:val="clear" w:fill="FFFFFF"/>
        </w:rPr>
        <w:t>一是政务公开的供给与公众信息获取需求之间仍然存在着差距；二是信息公开工作人员业务水平还有差距，导致信息公开全面性、时效性和规范性还存在不足。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555"/>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i w:val="0"/>
          <w:iCs w:val="0"/>
          <w:caps w:val="0"/>
          <w:color w:val="333333"/>
          <w:spacing w:val="0"/>
          <w:sz w:val="32"/>
          <w:szCs w:val="32"/>
          <w:shd w:val="clear" w:fill="FFFFFF"/>
        </w:rPr>
        <w:t>（二）改进情况：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i w:val="0"/>
          <w:iCs w:val="0"/>
          <w:caps w:val="0"/>
          <w:color w:val="333333"/>
          <w:spacing w:val="0"/>
          <w:sz w:val="32"/>
          <w:szCs w:val="32"/>
          <w:shd w:val="clear" w:fill="FFFFFF"/>
        </w:rPr>
        <w:t>1</w:t>
      </w:r>
      <w:r>
        <w:rPr>
          <w:rFonts w:hint="eastAsia" w:ascii="仿宋" w:hAnsi="仿宋" w:eastAsia="仿宋" w:cs="仿宋"/>
          <w:i w:val="0"/>
          <w:iCs w:val="0"/>
          <w:caps w:val="0"/>
          <w:color w:val="333333"/>
          <w:spacing w:val="0"/>
          <w:sz w:val="32"/>
          <w:szCs w:val="32"/>
          <w:shd w:val="clear" w:fill="FFFFFF"/>
          <w:lang w:val="en-US" w:eastAsia="zh-CN"/>
        </w:rPr>
        <w:t>.</w:t>
      </w:r>
      <w:r>
        <w:rPr>
          <w:rFonts w:hint="eastAsia" w:ascii="仿宋" w:hAnsi="仿宋" w:eastAsia="仿宋" w:cs="仿宋"/>
          <w:i w:val="0"/>
          <w:iCs w:val="0"/>
          <w:caps w:val="0"/>
          <w:color w:val="333333"/>
          <w:spacing w:val="0"/>
          <w:sz w:val="32"/>
          <w:szCs w:val="32"/>
          <w:shd w:val="clear" w:fill="FFFFFF"/>
        </w:rPr>
        <w:t>进一步加强信息收集。各站办所进一步做好信息收集并及时发布，加大对政务信息的公开力度，将群众最关心、反应最强烈的事项作为政府信息公开的主要内容，切实发挥好信息公开平台的桥梁作用。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仿宋" w:hAnsi="仿宋" w:eastAsia="仿宋" w:cs="仿宋"/>
          <w:i w:val="0"/>
          <w:iCs w:val="0"/>
          <w:caps w:val="0"/>
          <w:color w:val="333333"/>
          <w:spacing w:val="0"/>
          <w:sz w:val="32"/>
          <w:szCs w:val="32"/>
          <w:shd w:val="clear" w:fill="FFFFFF"/>
        </w:rPr>
        <w:t>2</w:t>
      </w:r>
      <w:r>
        <w:rPr>
          <w:rFonts w:hint="eastAsia" w:ascii="仿宋" w:hAnsi="仿宋" w:eastAsia="仿宋" w:cs="仿宋"/>
          <w:i w:val="0"/>
          <w:iCs w:val="0"/>
          <w:caps w:val="0"/>
          <w:color w:val="333333"/>
          <w:spacing w:val="0"/>
          <w:sz w:val="32"/>
          <w:szCs w:val="32"/>
          <w:shd w:val="clear" w:fill="FFFFFF"/>
          <w:lang w:val="en-US" w:eastAsia="zh-CN"/>
        </w:rPr>
        <w:t>.</w:t>
      </w:r>
      <w:r>
        <w:rPr>
          <w:rFonts w:hint="eastAsia" w:ascii="仿宋" w:hAnsi="仿宋" w:eastAsia="仿宋" w:cs="仿宋"/>
          <w:i w:val="0"/>
          <w:iCs w:val="0"/>
          <w:caps w:val="0"/>
          <w:color w:val="333333"/>
          <w:spacing w:val="0"/>
          <w:sz w:val="32"/>
          <w:szCs w:val="32"/>
          <w:shd w:val="clear" w:fill="FFFFFF"/>
        </w:rPr>
        <w:t>进一步加强队伍建设， 不断强化对工作人员的理论培训和业务培训，增强信息公开工作责任感，提高信息公开工作能力和信息公开工作水平。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i w:val="0"/>
          <w:iCs w:val="0"/>
          <w:caps w:val="0"/>
          <w:color w:val="333333"/>
          <w:spacing w:val="0"/>
          <w:sz w:val="32"/>
          <w:szCs w:val="32"/>
          <w:shd w:val="clear" w:fill="FFFFFF"/>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ascii="微软雅黑" w:hAnsi="微软雅黑" w:eastAsia="微软雅黑" w:cs="微软雅黑"/>
          <w:i w:val="0"/>
          <w:iCs w:val="0"/>
          <w:caps w:val="0"/>
          <w:color w:val="000000"/>
          <w:spacing w:val="0"/>
          <w:sz w:val="26"/>
          <w:szCs w:val="26"/>
        </w:rPr>
      </w:pP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1.我乡严格按照国务院办公厅《政府信息公开信息处理费管理办法》(国办函〔2020〕109号)执行，信息处理费按照超额累进方式计算收费金额，采取按件计收或按量计收方式，202</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w:t>
      </w: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年我乡信息处理费收费情况为零。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2.本年年度报告的电子版可以从万载具人民政府网站(http://www.wanzai.gov.cn)下载。如对本报告有任何疑问，请致电0795-8310001查询。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MDRiYzAyMGFiM2Y2Y2Q4NGJjZDViYjE1NGVhMmEifQ=="/>
  </w:docVars>
  <w:rsids>
    <w:rsidRoot w:val="477C6BF3"/>
    <w:rsid w:val="09DC09BD"/>
    <w:rsid w:val="477C6BF3"/>
    <w:rsid w:val="5B301A3F"/>
    <w:rsid w:val="6597247E"/>
    <w:rsid w:val="6DE877F3"/>
    <w:rsid w:val="76F43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3517</Words>
  <Characters>3704</Characters>
  <Lines>0</Lines>
  <Paragraphs>0</Paragraphs>
  <TotalTime>4</TotalTime>
  <ScaleCrop>false</ScaleCrop>
  <LinksUpToDate>false</LinksUpToDate>
  <CharactersWithSpaces>3705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2022-01-06T01:16:00Z</dcterms:created>
  <dc:creator>Lenovo</dc:creator>
  <cp:lastModifiedBy>Administrator</cp:lastModifiedBy>
  <dcterms:modified xsi:type="dcterms:W3CDTF">2023-01-16T10:36:30Z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3A2FBE58D4584144AE296E52747D87DB</vt:lpwstr>
  </property>
</Properties>
</file>