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Autospacing="0" w:line="240" w:lineRule="auto"/>
        <w:ind w:left="0" w:leftChars="0" w:right="0"/>
        <w:jc w:val="center"/>
        <w:textAlignment w:val="auto"/>
        <w:rPr>
          <w:rFonts w:hint="eastAsia" w:ascii="方正小标宋简体" w:hAnsi="方正小标宋简体" w:eastAsia="方正小标宋简体" w:cs="方正小标宋简体"/>
          <w:color w:val="000000" w:themeColor="text1"/>
          <w:kern w:val="2"/>
          <w:sz w:val="44"/>
          <w:szCs w:val="44"/>
          <w:lang w:val="en-US" w:eastAsia="zh-CN" w:bidi="ar"/>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44"/>
          <w:szCs w:val="44"/>
          <w:lang w:val="en-US" w:eastAsia="zh-CN" w:bidi="ar"/>
          <w14:textFill>
            <w14:solidFill>
              <w14:schemeClr w14:val="tx1"/>
            </w14:solidFill>
          </w14:textFill>
        </w:rPr>
        <w:t>万载县民政局2023年政府信息公开工作年度报告</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Autospacing="0" w:line="240" w:lineRule="auto"/>
        <w:ind w:left="0" w:leftChars="0" w:right="0"/>
        <w:jc w:val="center"/>
        <w:textAlignment w:val="auto"/>
        <w:rPr>
          <w:rFonts w:hint="eastAsia" w:ascii="方正小标宋简体" w:hAnsi="方正小标宋简体" w:eastAsia="方正小标宋简体" w:cs="方正小标宋简体"/>
          <w:color w:val="000000" w:themeColor="text1"/>
          <w:kern w:val="2"/>
          <w:sz w:val="44"/>
          <w:szCs w:val="44"/>
          <w:lang w:val="en-US" w:eastAsia="zh-CN" w:bidi="ar"/>
          <w14:textFill>
            <w14:solidFill>
              <w14:schemeClr w14:val="tx1"/>
            </w14:solidFill>
          </w14:textFill>
        </w:rPr>
      </w:pP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right="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14:textFill>
            <w14:solidFill>
              <w14:schemeClr w14:val="tx1"/>
            </w14:solidFill>
          </w14:textFill>
        </w:rPr>
        <w:t>本报告依据《中华人民共和国政府信息公开条例》（国务院令第711号，以下简称新《条例》）和《国务院办公厅政府信息与政务公开办公室关于印发</w:t>
      </w:r>
      <w:r>
        <w:rPr>
          <w:rFonts w:hint="eastAsia" w:ascii="仿宋_GB2312" w:hAnsi="仿宋_GB2312" w:eastAsia="仿宋_GB2312" w:cs="仿宋_GB2312"/>
          <w:i w:val="0"/>
          <w:caps w:val="0"/>
          <w:color w:val="000000" w:themeColor="text1"/>
          <w:spacing w:val="0"/>
          <w:kern w:val="0"/>
          <w:sz w:val="32"/>
          <w:szCs w:val="32"/>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kern w:val="0"/>
          <w:sz w:val="32"/>
          <w:szCs w:val="32"/>
          <w14:textFill>
            <w14:solidFill>
              <w14:schemeClr w14:val="tx1"/>
            </w14:solidFill>
          </w14:textFill>
        </w:rPr>
        <w:t>中华人民共和国政府信息公开工作年度报告格式</w:t>
      </w:r>
      <w:r>
        <w:rPr>
          <w:rFonts w:hint="eastAsia" w:ascii="仿宋_GB2312" w:hAnsi="仿宋_GB2312" w:eastAsia="仿宋_GB2312" w:cs="仿宋_GB2312"/>
          <w:i w:val="0"/>
          <w:caps w:val="0"/>
          <w:color w:val="000000" w:themeColor="text1"/>
          <w:spacing w:val="0"/>
          <w:kern w:val="0"/>
          <w:sz w:val="32"/>
          <w:szCs w:val="32"/>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kern w:val="0"/>
          <w:sz w:val="32"/>
          <w:szCs w:val="32"/>
          <w14:textFill>
            <w14:solidFill>
              <w14:schemeClr w14:val="tx1"/>
            </w14:solidFill>
          </w14:textFill>
        </w:rPr>
        <w:t>的通知》（国办公开办函〔2021〕30号）要求，由县民政局结合有关统计数据编制。本年度报告中所列数据的统计期限自202</w:t>
      </w:r>
      <w:r>
        <w:rPr>
          <w:rFonts w:hint="eastAsia" w:ascii="仿宋_GB2312" w:hAnsi="仿宋_GB2312" w:eastAsia="仿宋_GB2312" w:cs="仿宋_GB2312"/>
          <w:i w:val="0"/>
          <w:caps w:val="0"/>
          <w:color w:val="000000" w:themeColor="text1"/>
          <w:spacing w:val="0"/>
          <w:kern w:val="0"/>
          <w:sz w:val="32"/>
          <w:szCs w:val="32"/>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kern w:val="0"/>
          <w:sz w:val="32"/>
          <w:szCs w:val="32"/>
          <w14:textFill>
            <w14:solidFill>
              <w14:schemeClr w14:val="tx1"/>
            </w14:solidFill>
          </w14:textFill>
        </w:rPr>
        <w:t>年1月1日起至202</w:t>
      </w:r>
      <w:r>
        <w:rPr>
          <w:rFonts w:hint="eastAsia" w:ascii="仿宋_GB2312" w:hAnsi="仿宋_GB2312" w:eastAsia="仿宋_GB2312" w:cs="仿宋_GB2312"/>
          <w:i w:val="0"/>
          <w:caps w:val="0"/>
          <w:color w:val="000000" w:themeColor="text1"/>
          <w:spacing w:val="0"/>
          <w:kern w:val="0"/>
          <w:sz w:val="32"/>
          <w:szCs w:val="32"/>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kern w:val="0"/>
          <w:sz w:val="32"/>
          <w:szCs w:val="32"/>
          <w14:textFill>
            <w14:solidFill>
              <w14:schemeClr w14:val="tx1"/>
            </w14:solidFill>
          </w14:textFill>
        </w:rPr>
        <w:t>年12月31日止。报告全文主要包括总体情况、主动公开政府信息情况、收到和处理政府信息公开申请情况、因政府信息公开工作被申请行政复议提起行政诉讼情况、存在的主要问题及改进情况和其他需要报告的事项。本年度报告的电子版可以从万载县人民政府网（http://www.wanzai.gov.cn）下载。如对本报告有任何疑问，请与万载县民政局办公室联系（地址：万载县康乐街道东升村虎形垴</w:t>
      </w:r>
      <w:r>
        <w:rPr>
          <w:rFonts w:hint="eastAsia" w:ascii="仿宋_GB2312" w:hAnsi="仿宋_GB2312" w:eastAsia="仿宋_GB2312" w:cs="仿宋_GB2312"/>
          <w:i w:val="0"/>
          <w:caps w:val="0"/>
          <w:color w:val="000000" w:themeColor="text1"/>
          <w:spacing w:val="0"/>
          <w:kern w:val="0"/>
          <w:sz w:val="32"/>
          <w:szCs w:val="32"/>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kern w:val="0"/>
          <w:sz w:val="32"/>
          <w:szCs w:val="32"/>
          <w14:textFill>
            <w14:solidFill>
              <w14:schemeClr w14:val="tx1"/>
            </w14:solidFill>
          </w14:textFill>
        </w:rPr>
        <w:t>县福利院内</w:t>
      </w:r>
      <w:r>
        <w:rPr>
          <w:rFonts w:hint="eastAsia" w:ascii="仿宋_GB2312" w:hAnsi="仿宋_GB2312" w:eastAsia="仿宋_GB2312" w:cs="仿宋_GB2312"/>
          <w:i w:val="0"/>
          <w:caps w:val="0"/>
          <w:color w:val="000000" w:themeColor="text1"/>
          <w:spacing w:val="0"/>
          <w:kern w:val="0"/>
          <w:sz w:val="32"/>
          <w:szCs w:val="32"/>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kern w:val="0"/>
          <w:sz w:val="32"/>
          <w:szCs w:val="32"/>
          <w14:textFill>
            <w14:solidFill>
              <w14:schemeClr w14:val="tx1"/>
            </w14:solidFill>
          </w14:textFill>
        </w:rPr>
        <w:t>、</w:t>
      </w:r>
      <w:bookmarkStart w:id="0" w:name="_GoBack"/>
      <w:bookmarkEnd w:id="0"/>
      <w:r>
        <w:rPr>
          <w:rFonts w:hint="eastAsia" w:ascii="仿宋_GB2312" w:hAnsi="仿宋_GB2312" w:eastAsia="仿宋_GB2312" w:cs="仿宋_GB2312"/>
          <w:i w:val="0"/>
          <w:caps w:val="0"/>
          <w:color w:val="000000" w:themeColor="text1"/>
          <w:spacing w:val="0"/>
          <w:kern w:val="0"/>
          <w:sz w:val="32"/>
          <w:szCs w:val="32"/>
          <w14:textFill>
            <w14:solidFill>
              <w14:schemeClr w14:val="tx1"/>
            </w14:solidFill>
          </w14:textFill>
        </w:rPr>
        <w:t>联系电话：0795-8823145）。</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right="0" w:firstLine="640" w:firstLineChars="200"/>
        <w:jc w:val="left"/>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一、总体情况</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right="0" w:firstLine="640" w:firstLineChars="200"/>
        <w:jc w:val="left"/>
        <w:textAlignment w:val="auto"/>
        <w:rPr>
          <w:rFonts w:hint="eastAsia" w:ascii="仿宋_GB2312" w:hAnsi="宋体" w:eastAsia="仿宋_GB2312" w:cs="仿宋_GB2312"/>
          <w:i w:val="0"/>
          <w:iCs w:val="0"/>
          <w:caps w:val="0"/>
          <w:color w:val="000000"/>
          <w:spacing w:val="0"/>
          <w:sz w:val="32"/>
          <w:szCs w:val="32"/>
          <w:shd w:val="clear" w:fill="FFFFFF"/>
        </w:rPr>
      </w:pPr>
      <w:r>
        <w:rPr>
          <w:rFonts w:hint="default" w:ascii="Times New Roman" w:hAnsi="Times New Roman" w:eastAsia="仿宋_GB2312" w:cs="Times New Roman"/>
          <w:i w:val="0"/>
          <w:iCs w:val="0"/>
          <w:caps w:val="0"/>
          <w:color w:val="000000"/>
          <w:spacing w:val="0"/>
          <w:sz w:val="32"/>
          <w:szCs w:val="32"/>
          <w:shd w:val="clear" w:fill="FFFFFF"/>
        </w:rPr>
        <w:t>2023</w:t>
      </w:r>
      <w:r>
        <w:rPr>
          <w:rFonts w:hint="eastAsia" w:ascii="仿宋_GB2312" w:hAnsi="宋体" w:eastAsia="仿宋_GB2312" w:cs="仿宋_GB2312"/>
          <w:i w:val="0"/>
          <w:iCs w:val="0"/>
          <w:caps w:val="0"/>
          <w:color w:val="000000"/>
          <w:spacing w:val="0"/>
          <w:sz w:val="32"/>
          <w:szCs w:val="32"/>
          <w:shd w:val="clear" w:fill="FFFFFF"/>
        </w:rPr>
        <w:t>年</w:t>
      </w:r>
      <w:r>
        <w:rPr>
          <w:rFonts w:hint="eastAsia" w:ascii="仿宋_GB2312" w:hAnsi="宋体" w:eastAsia="仿宋_GB2312" w:cs="仿宋_GB2312"/>
          <w:i w:val="0"/>
          <w:iCs w:val="0"/>
          <w:caps w:val="0"/>
          <w:color w:val="000000"/>
          <w:spacing w:val="0"/>
          <w:sz w:val="32"/>
          <w:szCs w:val="32"/>
          <w:shd w:val="clear" w:fill="FFFFFF"/>
          <w:lang w:eastAsia="zh-CN"/>
        </w:rPr>
        <w:t>万载</w:t>
      </w:r>
      <w:r>
        <w:rPr>
          <w:rFonts w:hint="eastAsia" w:ascii="仿宋_GB2312" w:hAnsi="宋体" w:eastAsia="仿宋_GB2312" w:cs="仿宋_GB2312"/>
          <w:i w:val="0"/>
          <w:iCs w:val="0"/>
          <w:caps w:val="0"/>
          <w:color w:val="000000"/>
          <w:spacing w:val="0"/>
          <w:sz w:val="32"/>
          <w:szCs w:val="32"/>
          <w:shd w:val="clear" w:fill="FFFFFF"/>
        </w:rPr>
        <w:t>县民政局</w:t>
      </w:r>
      <w:r>
        <w:rPr>
          <w:rFonts w:hint="eastAsia" w:ascii="仿宋_GB2312" w:hAnsi="宋体" w:eastAsia="仿宋_GB2312" w:cs="仿宋_GB2312"/>
          <w:i w:val="0"/>
          <w:iCs w:val="0"/>
          <w:caps w:val="0"/>
          <w:color w:val="000000"/>
          <w:spacing w:val="0"/>
          <w:sz w:val="32"/>
          <w:szCs w:val="32"/>
        </w:rPr>
        <w:t>认真学习贯彻党的二十大精神</w:t>
      </w:r>
      <w:r>
        <w:rPr>
          <w:rFonts w:hint="eastAsia" w:ascii="仿宋_GB2312" w:hAnsi="宋体" w:eastAsia="仿宋_GB2312" w:cs="仿宋_GB2312"/>
          <w:i w:val="0"/>
          <w:iCs w:val="0"/>
          <w:caps w:val="0"/>
          <w:color w:val="000000"/>
          <w:spacing w:val="0"/>
          <w:sz w:val="32"/>
          <w:szCs w:val="32"/>
          <w:lang w:eastAsia="zh-CN"/>
        </w:rPr>
        <w:t>和</w:t>
      </w:r>
      <w:r>
        <w:rPr>
          <w:rFonts w:hint="eastAsia" w:ascii="仿宋_GB2312" w:hAnsi="宋体" w:eastAsia="仿宋_GB2312" w:cs="仿宋_GB2312"/>
          <w:i w:val="0"/>
          <w:iCs w:val="0"/>
          <w:caps w:val="0"/>
          <w:color w:val="000000"/>
          <w:spacing w:val="0"/>
          <w:sz w:val="32"/>
          <w:szCs w:val="32"/>
        </w:rPr>
        <w:t>习近平总书记考察江西重要讲话精神，</w:t>
      </w:r>
      <w:r>
        <w:rPr>
          <w:rFonts w:hint="eastAsia" w:ascii="仿宋_GB2312" w:hAnsi="宋体" w:eastAsia="仿宋_GB2312" w:cs="仿宋_GB2312"/>
          <w:i w:val="0"/>
          <w:iCs w:val="0"/>
          <w:caps w:val="0"/>
          <w:color w:val="000000"/>
          <w:spacing w:val="0"/>
          <w:sz w:val="32"/>
          <w:szCs w:val="32"/>
          <w:shd w:val="clear" w:fill="FFFFFF"/>
        </w:rPr>
        <w:t>结合我局实际情况，践行“民政为民、民政爱民”的工作理念，全面推动工作落实。坚持以公开为常态、不公开为例外，切实回应群众关注关切，大力推进政务公开各项工作，确保公开信息的准确性、权威性、完整性和时效性。</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right="0" w:firstLine="640" w:firstLineChars="200"/>
        <w:jc w:val="left"/>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（一）主动公开政府信息情况</w:t>
      </w:r>
      <w:r>
        <w:rPr>
          <w:rFonts w:hint="eastAsia" w:ascii="楷体_GB2312" w:hAnsi="楷体_GB2312" w:eastAsia="楷体_GB2312" w:cs="楷体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一是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重点领域政府信息公开情况</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依法公开了202</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年度城乡低保、特困人员救助供养、孤儿、残疾人、事实无人抚养儿童等社会救助的有关数据。</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二是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建议提案办理情况</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办理人大代表建议意见</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11</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政协委员提案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4件，</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并及时给予回复，代表和委员对回复意见较为满意。</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三是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及时公开本部门的预算、决算、“三公”经费决算。</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四是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依申请公开政府信息办理情况。202</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年度我局无依申请公开信息。</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五是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因政府信息公开申请行政复议、提起行政诉讼的情况。我局政府信息公开工作，严格按照《条例》规定公开，主动公开政府信息，年度内未发生因政府信息公开申请行政复议、提起行政诉讼的事件。</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42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（二）收到和处理依申请公开情况</w:t>
      </w:r>
      <w:r>
        <w:rPr>
          <w:rFonts w:hint="eastAsia" w:ascii="楷体_GB2312" w:hAnsi="楷体_GB2312" w:eastAsia="楷体_GB2312" w:cs="楷体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kern w:val="0"/>
          <w:sz w:val="32"/>
          <w:szCs w:val="32"/>
          <w:shd w:val="clear" w:fill="FFFFFF"/>
          <w14:textFill>
            <w14:solidFill>
              <w14:schemeClr w14:val="tx1"/>
            </w14:solidFill>
          </w14:textFill>
        </w:rPr>
        <w:t>202</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kern w:val="0"/>
          <w:sz w:val="32"/>
          <w:szCs w:val="32"/>
          <w:shd w:val="clear" w:fill="FFFFFF"/>
          <w14:textFill>
            <w14:solidFill>
              <w14:schemeClr w14:val="tx1"/>
            </w14:solidFill>
          </w14:textFill>
        </w:rPr>
        <w:t>年，万载县民政局收到</w:t>
      </w:r>
      <w:r>
        <w:rPr>
          <w:rFonts w:hint="eastAsia" w:ascii="仿宋_GB2312" w:hAnsi="仿宋_GB2312" w:eastAsia="仿宋_GB2312" w:cs="仿宋_GB2312"/>
          <w:i w:val="0"/>
          <w:caps w:val="0"/>
          <w:color w:val="000000" w:themeColor="text1"/>
          <w:spacing w:val="0"/>
          <w:kern w:val="0"/>
          <w:sz w:val="32"/>
          <w:szCs w:val="32"/>
          <w:shd w:val="clear" w:fill="FFFFFF"/>
          <w:lang w:eastAsia="zh-CN"/>
          <w14:textFill>
            <w14:solidFill>
              <w14:schemeClr w14:val="tx1"/>
            </w14:solidFill>
          </w14:textFill>
        </w:rPr>
        <w:t>一条</w:t>
      </w:r>
      <w:r>
        <w:rPr>
          <w:rFonts w:hint="eastAsia" w:ascii="仿宋_GB2312" w:hAnsi="仿宋_GB2312" w:eastAsia="仿宋_GB2312" w:cs="仿宋_GB2312"/>
          <w:i w:val="0"/>
          <w:caps w:val="0"/>
          <w:color w:val="000000" w:themeColor="text1"/>
          <w:spacing w:val="0"/>
          <w:kern w:val="0"/>
          <w:sz w:val="32"/>
          <w:szCs w:val="32"/>
          <w:shd w:val="clear" w:fill="FFFFFF"/>
          <w14:textFill>
            <w14:solidFill>
              <w14:schemeClr w14:val="tx1"/>
            </w14:solidFill>
          </w14:textFill>
        </w:rPr>
        <w:t>依申请公开信息</w:t>
      </w:r>
      <w:r>
        <w:rPr>
          <w:rFonts w:hint="eastAsia" w:ascii="仿宋_GB2312" w:hAnsi="仿宋_GB2312" w:eastAsia="仿宋_GB2312" w:cs="仿宋_GB2312"/>
          <w:i w:val="0"/>
          <w:caps w:val="0"/>
          <w:color w:val="000000" w:themeColor="text1"/>
          <w:spacing w:val="0"/>
          <w:kern w:val="0"/>
          <w:sz w:val="32"/>
          <w:szCs w:val="32"/>
          <w:shd w:val="clear" w:fill="FFFFFF"/>
          <w:lang w:eastAsia="zh-CN"/>
          <w14:textFill>
            <w14:solidFill>
              <w14:schemeClr w14:val="tx1"/>
            </w14:solidFill>
          </w14:textFill>
        </w:rPr>
        <w:t>，后该发布人主动撤回。</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42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（三）政府信息管理情况</w:t>
      </w:r>
      <w:r>
        <w:rPr>
          <w:rFonts w:hint="eastAsia" w:ascii="楷体_GB2312" w:hAnsi="楷体_GB2312" w:eastAsia="楷体_GB2312" w:cs="楷体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kern w:val="0"/>
          <w:sz w:val="32"/>
          <w:szCs w:val="32"/>
          <w:shd w:val="clear" w:fill="FFFFFF"/>
          <w14:textFill>
            <w14:solidFill>
              <w14:schemeClr w14:val="tx1"/>
            </w14:solidFill>
          </w14:textFill>
        </w:rPr>
        <w:t>一是组织机构健全。调整政府信息公开工作领导小组，</w:t>
      </w:r>
      <w:r>
        <w:rPr>
          <w:rFonts w:hint="eastAsia" w:ascii="仿宋_GB2312" w:hAnsi="仿宋_GB2312" w:eastAsia="仿宋_GB2312" w:cs="仿宋_GB2312"/>
          <w:i w:val="0"/>
          <w:caps w:val="0"/>
          <w:color w:val="000000" w:themeColor="text1"/>
          <w:spacing w:val="0"/>
          <w:kern w:val="0"/>
          <w:sz w:val="32"/>
          <w:szCs w:val="32"/>
          <w:shd w:val="clear" w:fill="FFFFFF"/>
          <w:lang w:eastAsia="zh-CN"/>
          <w14:textFill>
            <w14:solidFill>
              <w14:schemeClr w14:val="tx1"/>
            </w14:solidFill>
          </w14:textFill>
        </w:rPr>
        <w:t>由</w:t>
      </w:r>
      <w:r>
        <w:rPr>
          <w:rFonts w:hint="eastAsia" w:ascii="仿宋_GB2312" w:hAnsi="仿宋_GB2312" w:eastAsia="仿宋_GB2312" w:cs="仿宋_GB2312"/>
          <w:i w:val="0"/>
          <w:caps w:val="0"/>
          <w:color w:val="000000" w:themeColor="text1"/>
          <w:spacing w:val="0"/>
          <w:kern w:val="0"/>
          <w:sz w:val="32"/>
          <w:szCs w:val="32"/>
          <w:shd w:val="clear" w:fill="FFFFFF"/>
          <w14:textFill>
            <w14:solidFill>
              <w14:schemeClr w14:val="tx1"/>
            </w14:solidFill>
          </w14:textFill>
        </w:rPr>
        <w:t>局主要领导任组长，分管领导任副组长，机关各</w:t>
      </w:r>
      <w:r>
        <w:rPr>
          <w:rFonts w:hint="eastAsia" w:ascii="仿宋_GB2312" w:hAnsi="仿宋_GB2312" w:eastAsia="仿宋_GB2312" w:cs="仿宋_GB2312"/>
          <w:i w:val="0"/>
          <w:caps w:val="0"/>
          <w:color w:val="000000" w:themeColor="text1"/>
          <w:spacing w:val="0"/>
          <w:kern w:val="0"/>
          <w:sz w:val="32"/>
          <w:szCs w:val="32"/>
          <w:shd w:val="clear" w:fill="FFFFFF"/>
          <w:lang w:eastAsia="zh-CN"/>
          <w14:textFill>
            <w14:solidFill>
              <w14:schemeClr w14:val="tx1"/>
            </w14:solidFill>
          </w14:textFill>
        </w:rPr>
        <w:t>股室</w:t>
      </w:r>
      <w:r>
        <w:rPr>
          <w:rFonts w:hint="eastAsia" w:ascii="仿宋_GB2312" w:hAnsi="仿宋_GB2312" w:eastAsia="仿宋_GB2312" w:cs="仿宋_GB2312"/>
          <w:i w:val="0"/>
          <w:caps w:val="0"/>
          <w:color w:val="000000" w:themeColor="text1"/>
          <w:spacing w:val="0"/>
          <w:kern w:val="0"/>
          <w:sz w:val="32"/>
          <w:szCs w:val="32"/>
          <w:shd w:val="clear" w:fill="FFFFFF"/>
          <w14:textFill>
            <w14:solidFill>
              <w14:schemeClr w14:val="tx1"/>
            </w14:solidFill>
          </w14:textFill>
        </w:rPr>
        <w:t>、</w:t>
      </w:r>
      <w:r>
        <w:rPr>
          <w:rFonts w:hint="eastAsia" w:ascii="仿宋_GB2312" w:hAnsi="仿宋_GB2312" w:eastAsia="仿宋_GB2312" w:cs="仿宋_GB2312"/>
          <w:i w:val="0"/>
          <w:caps w:val="0"/>
          <w:color w:val="000000" w:themeColor="text1"/>
          <w:spacing w:val="0"/>
          <w:kern w:val="0"/>
          <w:sz w:val="32"/>
          <w:szCs w:val="32"/>
          <w:shd w:val="clear" w:fill="FFFFFF"/>
          <w:lang w:eastAsia="zh-CN"/>
          <w14:textFill>
            <w14:solidFill>
              <w14:schemeClr w14:val="tx1"/>
            </w14:solidFill>
          </w14:textFill>
        </w:rPr>
        <w:t>局下属单位</w:t>
      </w:r>
      <w:r>
        <w:rPr>
          <w:rFonts w:hint="eastAsia" w:ascii="仿宋_GB2312" w:hAnsi="仿宋_GB2312" w:eastAsia="仿宋_GB2312" w:cs="仿宋_GB2312"/>
          <w:i w:val="0"/>
          <w:caps w:val="0"/>
          <w:color w:val="000000" w:themeColor="text1"/>
          <w:spacing w:val="0"/>
          <w:kern w:val="0"/>
          <w:sz w:val="32"/>
          <w:szCs w:val="32"/>
          <w:shd w:val="clear" w:fill="FFFFFF"/>
          <w14:textFill>
            <w14:solidFill>
              <w14:schemeClr w14:val="tx1"/>
            </w14:solidFill>
          </w14:textFill>
        </w:rPr>
        <w:t>主要负责人为成员，局</w:t>
      </w:r>
      <w:r>
        <w:rPr>
          <w:rFonts w:hint="eastAsia" w:ascii="仿宋_GB2312" w:hAnsi="仿宋_GB2312" w:eastAsia="仿宋_GB2312" w:cs="仿宋_GB2312"/>
          <w:i w:val="0"/>
          <w:caps w:val="0"/>
          <w:color w:val="000000" w:themeColor="text1"/>
          <w:spacing w:val="0"/>
          <w:kern w:val="0"/>
          <w:sz w:val="32"/>
          <w:szCs w:val="32"/>
          <w:shd w:val="clear" w:fill="FFFFFF"/>
          <w:lang w:eastAsia="zh-CN"/>
          <w14:textFill>
            <w14:solidFill>
              <w14:schemeClr w14:val="tx1"/>
            </w14:solidFill>
          </w14:textFill>
        </w:rPr>
        <w:t>秘书（党建）股</w:t>
      </w:r>
      <w:r>
        <w:rPr>
          <w:rFonts w:hint="eastAsia" w:ascii="仿宋_GB2312" w:hAnsi="仿宋_GB2312" w:eastAsia="仿宋_GB2312" w:cs="仿宋_GB2312"/>
          <w:i w:val="0"/>
          <w:caps w:val="0"/>
          <w:color w:val="000000" w:themeColor="text1"/>
          <w:spacing w:val="0"/>
          <w:kern w:val="0"/>
          <w:sz w:val="32"/>
          <w:szCs w:val="32"/>
          <w:shd w:val="clear" w:fill="FFFFFF"/>
          <w14:textFill>
            <w14:solidFill>
              <w14:schemeClr w14:val="tx1"/>
            </w14:solidFill>
          </w14:textFill>
        </w:rPr>
        <w:t>负责综合协调和日常工作，具体负责政府信息公开管理、保密审核和网络维护等工作。二是建立规章制度。严格落实“先审查、后公开”和“一事一审”的原则，</w:t>
      </w:r>
      <w:r>
        <w:rPr>
          <w:rFonts w:hint="eastAsia" w:ascii="仿宋_GB2312" w:hAnsi="仿宋_GB2312" w:eastAsia="仿宋_GB2312" w:cs="仿宋_GB2312"/>
          <w:i w:val="0"/>
          <w:caps w:val="0"/>
          <w:color w:val="000000" w:themeColor="text1"/>
          <w:spacing w:val="0"/>
          <w:kern w:val="0"/>
          <w:sz w:val="32"/>
          <w:szCs w:val="32"/>
          <w:shd w:val="clear" w:fill="FFFFFF"/>
          <w:lang w:eastAsia="zh-CN"/>
          <w14:textFill>
            <w14:solidFill>
              <w14:schemeClr w14:val="tx1"/>
            </w14:solidFill>
          </w14:textFill>
        </w:rPr>
        <w:t>按照</w:t>
      </w:r>
      <w:r>
        <w:rPr>
          <w:rFonts w:hint="eastAsia" w:ascii="仿宋_GB2312" w:hAnsi="仿宋_GB2312" w:eastAsia="仿宋_GB2312" w:cs="仿宋_GB2312"/>
          <w:i w:val="0"/>
          <w:caps w:val="0"/>
          <w:color w:val="000000" w:themeColor="text1"/>
          <w:spacing w:val="0"/>
          <w:kern w:val="0"/>
          <w:sz w:val="32"/>
          <w:szCs w:val="32"/>
          <w:shd w:val="clear" w:fill="FFFFFF"/>
          <w14:textFill>
            <w14:solidFill>
              <w14:schemeClr w14:val="tx1"/>
            </w14:solidFill>
          </w14:textFill>
        </w:rPr>
        <w:t>“三校三审”工作要求，明确信息内容的准确性、时效性、保密性，坚决杜绝信息更新不及时、发布存在严重表述错误等问题的发生。三是</w:t>
      </w:r>
      <w:r>
        <w:rPr>
          <w:rFonts w:hint="eastAsia" w:ascii="仿宋_GB2312" w:hAnsi="仿宋_GB2312" w:eastAsia="仿宋_GB2312" w:cs="仿宋_GB2312"/>
          <w:i w:val="0"/>
          <w:caps w:val="0"/>
          <w:color w:val="000000" w:themeColor="text1"/>
          <w:spacing w:val="0"/>
          <w:kern w:val="0"/>
          <w:sz w:val="32"/>
          <w:szCs w:val="32"/>
          <w:shd w:val="clear" w:fill="FFFFFF"/>
          <w:lang w:eastAsia="zh-CN"/>
          <w14:textFill>
            <w14:solidFill>
              <w14:schemeClr w14:val="tx1"/>
            </w14:solidFill>
          </w14:textFill>
        </w:rPr>
        <w:t>聚焦热点解读</w:t>
      </w:r>
      <w:r>
        <w:rPr>
          <w:rFonts w:hint="eastAsia" w:ascii="仿宋_GB2312" w:hAnsi="仿宋_GB2312" w:eastAsia="仿宋_GB2312" w:cs="仿宋_GB2312"/>
          <w:i w:val="0"/>
          <w:caps w:val="0"/>
          <w:color w:val="000000" w:themeColor="text1"/>
          <w:spacing w:val="0"/>
          <w:kern w:val="0"/>
          <w:sz w:val="32"/>
          <w:szCs w:val="32"/>
          <w:shd w:val="clear" w:fill="FFFFFF"/>
          <w14:textFill>
            <w14:solidFill>
              <w14:schemeClr w14:val="tx1"/>
            </w14:solidFill>
          </w14:textFill>
        </w:rPr>
        <w:t>。聚焦</w:t>
      </w:r>
      <w:r>
        <w:rPr>
          <w:rFonts w:hint="eastAsia" w:ascii="仿宋_GB2312" w:hAnsi="仿宋_GB2312" w:eastAsia="仿宋_GB2312" w:cs="仿宋_GB2312"/>
          <w:i w:val="0"/>
          <w:caps w:val="0"/>
          <w:color w:val="000000" w:themeColor="text1"/>
          <w:spacing w:val="0"/>
          <w:kern w:val="0"/>
          <w:sz w:val="32"/>
          <w:szCs w:val="32"/>
          <w:shd w:val="clear" w:fill="FFFFFF"/>
          <w:lang w:eastAsia="zh-CN"/>
          <w14:textFill>
            <w14:solidFill>
              <w14:schemeClr w14:val="tx1"/>
            </w14:solidFill>
          </w14:textFill>
        </w:rPr>
        <w:t>民政</w:t>
      </w:r>
      <w:r>
        <w:rPr>
          <w:rFonts w:hint="eastAsia" w:ascii="仿宋_GB2312" w:hAnsi="仿宋_GB2312" w:eastAsia="仿宋_GB2312" w:cs="仿宋_GB2312"/>
          <w:i w:val="0"/>
          <w:caps w:val="0"/>
          <w:color w:val="000000" w:themeColor="text1"/>
          <w:spacing w:val="0"/>
          <w:kern w:val="0"/>
          <w:sz w:val="32"/>
          <w:szCs w:val="32"/>
          <w:shd w:val="clear" w:fill="FFFFFF"/>
          <w14:textFill>
            <w14:solidFill>
              <w14:schemeClr w14:val="tx1"/>
            </w14:solidFill>
          </w14:textFill>
        </w:rPr>
        <w:t>重点工作，与群众</w:t>
      </w:r>
      <w:r>
        <w:rPr>
          <w:rFonts w:hint="eastAsia" w:ascii="仿宋_GB2312" w:hAnsi="仿宋_GB2312" w:eastAsia="仿宋_GB2312" w:cs="仿宋_GB2312"/>
          <w:i w:val="0"/>
          <w:caps w:val="0"/>
          <w:color w:val="000000" w:themeColor="text1"/>
          <w:spacing w:val="0"/>
          <w:kern w:val="0"/>
          <w:sz w:val="32"/>
          <w:szCs w:val="32"/>
          <w:shd w:val="clear" w:fill="FFFFFF"/>
          <w:lang w:eastAsia="zh-CN"/>
          <w14:textFill>
            <w14:solidFill>
              <w14:schemeClr w14:val="tx1"/>
            </w14:solidFill>
          </w14:textFill>
        </w:rPr>
        <w:t>最关心新政策进行解读</w:t>
      </w:r>
      <w:r>
        <w:rPr>
          <w:rFonts w:hint="eastAsia" w:ascii="仿宋_GB2312" w:hAnsi="仿宋_GB2312" w:eastAsia="仿宋_GB2312" w:cs="仿宋_GB2312"/>
          <w:i w:val="0"/>
          <w:caps w:val="0"/>
          <w:color w:val="000000" w:themeColor="text1"/>
          <w:spacing w:val="0"/>
          <w:kern w:val="0"/>
          <w:sz w:val="32"/>
          <w:szCs w:val="32"/>
          <w:shd w:val="clear" w:fill="FFFFFF"/>
          <w14:textFill>
            <w14:solidFill>
              <w14:schemeClr w14:val="tx1"/>
            </w14:solidFill>
          </w14:textFill>
        </w:rPr>
        <w:t>公开。</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420"/>
        <w:jc w:val="left"/>
        <w:textAlignment w:val="auto"/>
        <w:rPr>
          <w:rFonts w:hint="eastAsia" w:ascii="仿宋_GB2312" w:hAnsi="仿宋_GB2312" w:eastAsia="仿宋_GB2312" w:cs="仿宋_GB2312"/>
          <w:i w:val="0"/>
          <w:caps w:val="0"/>
          <w:color w:val="000000" w:themeColor="text1"/>
          <w:spacing w:val="0"/>
          <w:kern w:val="0"/>
          <w:sz w:val="32"/>
          <w:szCs w:val="32"/>
          <w:shd w:val="clear" w:fill="FFFFFF"/>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（四）监督保障情况</w:t>
      </w:r>
      <w:r>
        <w:rPr>
          <w:rFonts w:hint="eastAsia" w:ascii="楷体_GB2312" w:hAnsi="楷体_GB2312" w:eastAsia="楷体_GB2312" w:cs="楷体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kern w:val="0"/>
          <w:sz w:val="32"/>
          <w:szCs w:val="32"/>
          <w:shd w:val="clear" w:fill="FFFFFF"/>
          <w14:textFill>
            <w14:solidFill>
              <w14:schemeClr w14:val="tx1"/>
            </w14:solidFill>
          </w14:textFill>
        </w:rPr>
        <w:t>不断健全完善信息发布审核制度，由局</w:t>
      </w:r>
      <w:r>
        <w:rPr>
          <w:rFonts w:hint="eastAsia" w:ascii="仿宋_GB2312" w:hAnsi="仿宋_GB2312" w:eastAsia="仿宋_GB2312" w:cs="仿宋_GB2312"/>
          <w:i w:val="0"/>
          <w:caps w:val="0"/>
          <w:color w:val="000000" w:themeColor="text1"/>
          <w:spacing w:val="0"/>
          <w:kern w:val="0"/>
          <w:sz w:val="32"/>
          <w:szCs w:val="32"/>
          <w:shd w:val="clear" w:fill="FFFFFF"/>
          <w:lang w:eastAsia="zh-CN"/>
          <w14:textFill>
            <w14:solidFill>
              <w14:schemeClr w14:val="tx1"/>
            </w14:solidFill>
          </w14:textFill>
        </w:rPr>
        <w:t>秘书（党建）股</w:t>
      </w:r>
      <w:r>
        <w:rPr>
          <w:rFonts w:hint="eastAsia" w:ascii="仿宋_GB2312" w:hAnsi="仿宋_GB2312" w:eastAsia="仿宋_GB2312" w:cs="仿宋_GB2312"/>
          <w:i w:val="0"/>
          <w:caps w:val="0"/>
          <w:color w:val="000000" w:themeColor="text1"/>
          <w:spacing w:val="0"/>
          <w:kern w:val="0"/>
          <w:sz w:val="32"/>
          <w:szCs w:val="32"/>
          <w:shd w:val="clear" w:fill="FFFFFF"/>
          <w14:textFill>
            <w14:solidFill>
              <w14:schemeClr w14:val="tx1"/>
            </w14:solidFill>
          </w14:textFill>
        </w:rPr>
        <w:t>牵头组织实施，明确各股室负责同志为第一责任人，分管领导对发布的信息内容审核把关，确保职能范围内的政府信息按要求公开。二是强化合法性审查工作，将有关管理办法、规定在政务网站发布前交由城区司法部门进行审核，确保文件的形成履行相关法定程序，内容符合现有法律法规。三是定期开展自查自纠，严格按照政府网站与政务新媒体检查指标等要求，定期开展错词错链检查，及时整理、规范各栏目信息内容，</w:t>
      </w:r>
      <w:r>
        <w:rPr>
          <w:rFonts w:hint="eastAsia" w:ascii="仿宋_GB2312" w:hAnsi="仿宋_GB2312" w:eastAsia="仿宋_GB2312" w:cs="仿宋_GB2312"/>
          <w:i w:val="0"/>
          <w:caps w:val="0"/>
          <w:color w:val="000000" w:themeColor="text1"/>
          <w:spacing w:val="0"/>
          <w:kern w:val="0"/>
          <w:sz w:val="32"/>
          <w:szCs w:val="32"/>
          <w:shd w:val="clear" w:fill="FFFFFF"/>
          <w:lang w:eastAsia="zh-CN"/>
          <w14:textFill>
            <w14:solidFill>
              <w14:schemeClr w14:val="tx1"/>
            </w14:solidFill>
          </w14:textFill>
        </w:rPr>
        <w:t>确保</w:t>
      </w:r>
      <w:r>
        <w:rPr>
          <w:rFonts w:hint="eastAsia" w:ascii="仿宋_GB2312" w:hAnsi="仿宋_GB2312" w:eastAsia="仿宋_GB2312" w:cs="仿宋_GB2312"/>
          <w:i w:val="0"/>
          <w:caps w:val="0"/>
          <w:color w:val="000000" w:themeColor="text1"/>
          <w:spacing w:val="0"/>
          <w:kern w:val="0"/>
          <w:sz w:val="32"/>
          <w:szCs w:val="32"/>
          <w:shd w:val="clear" w:fill="FFFFFF"/>
          <w14:textFill>
            <w14:solidFill>
              <w14:schemeClr w14:val="tx1"/>
            </w14:solidFill>
          </w14:textFill>
        </w:rPr>
        <w:t>公示内容与栏目板块相符。</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420"/>
        <w:jc w:val="left"/>
        <w:textAlignment w:val="auto"/>
        <w:rPr>
          <w:rFonts w:hint="eastAsia" w:ascii="黑体" w:hAnsi="黑体" w:eastAsia="黑体" w:cs="黑体"/>
          <w:b w:val="0"/>
          <w:bCs/>
          <w:color w:val="000000" w:themeColor="text1"/>
          <w:kern w:val="2"/>
          <w:sz w:val="32"/>
          <w:szCs w:val="32"/>
          <w:lang w:val="en-US" w:eastAsia="zh-CN" w:bidi="ar"/>
          <w14:textFill>
            <w14:solidFill>
              <w14:schemeClr w14:val="tx1"/>
            </w14:solidFill>
          </w14:textFill>
        </w:rPr>
      </w:pPr>
      <w:r>
        <w:rPr>
          <w:rFonts w:hint="eastAsia" w:ascii="楷体_GB2312" w:hAnsi="楷体_GB2312" w:eastAsia="楷体_GB2312" w:cs="楷体_GB2312"/>
          <w:i w:val="0"/>
          <w:caps w:val="0"/>
          <w:color w:val="000000" w:themeColor="text1"/>
          <w:spacing w:val="0"/>
          <w:kern w:val="0"/>
          <w:sz w:val="32"/>
          <w:szCs w:val="32"/>
          <w:shd w:val="clear" w:fill="FFFFFF"/>
          <w:lang w:val="en-US" w:eastAsia="zh-CN"/>
          <w14:textFill>
            <w14:solidFill>
              <w14:schemeClr w14:val="tx1"/>
            </w14:solidFill>
          </w14:textFill>
        </w:rPr>
        <w:t>（五）政府信息平台建设方面。</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14:textFill>
            <w14:solidFill>
              <w14:schemeClr w14:val="tx1"/>
            </w14:solidFill>
          </w14:textFill>
        </w:rPr>
        <w:t>紧紧围绕县委、县政府对公开工作实施要求，不断完善我局政府信息主动公开目录。对政务公开网站实行常态化日常管理，局秘书（党建）股设专人负责发布与维护各个目录的公开信息，重点民政重点领域信息公开、政策解读等方面的信息公开工作。</w:t>
      </w:r>
    </w:p>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firstLine="640" w:firstLineChars="200"/>
        <w:jc w:val="lef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
          <w14:textFill>
            <w14:solidFill>
              <w14:schemeClr w14:val="tx1"/>
            </w14:solidFill>
          </w14:textFill>
        </w:rPr>
        <w:t>二、主动公开政府信息情况</w:t>
      </w:r>
    </w:p>
    <w:tbl>
      <w:tblPr>
        <w:tblStyle w:val="3"/>
        <w:tblW w:w="97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409"/>
        <w:gridCol w:w="1755"/>
        <w:gridCol w:w="2625"/>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729"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信息内容</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本年制发件数</w:t>
            </w:r>
          </w:p>
        </w:tc>
        <w:tc>
          <w:tcPr>
            <w:tcW w:w="26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本年废止件数</w:t>
            </w:r>
          </w:p>
        </w:tc>
        <w:tc>
          <w:tcPr>
            <w:tcW w:w="29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规    章</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26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29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行政规范性文件</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26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3</w:t>
            </w:r>
          </w:p>
        </w:tc>
        <w:tc>
          <w:tcPr>
            <w:tcW w:w="29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9"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信息内容</w:t>
            </w:r>
          </w:p>
        </w:tc>
        <w:tc>
          <w:tcPr>
            <w:tcW w:w="7320"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行政许可</w:t>
            </w:r>
          </w:p>
        </w:tc>
        <w:tc>
          <w:tcPr>
            <w:tcW w:w="7320"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9"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信息内容</w:t>
            </w:r>
          </w:p>
        </w:tc>
        <w:tc>
          <w:tcPr>
            <w:tcW w:w="7320"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行政处罚</w:t>
            </w:r>
          </w:p>
        </w:tc>
        <w:tc>
          <w:tcPr>
            <w:tcW w:w="7320"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行政强制</w:t>
            </w:r>
          </w:p>
        </w:tc>
        <w:tc>
          <w:tcPr>
            <w:tcW w:w="7320"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9"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信息内容</w:t>
            </w:r>
          </w:p>
        </w:tc>
        <w:tc>
          <w:tcPr>
            <w:tcW w:w="7320"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行政事业性收费</w:t>
            </w:r>
          </w:p>
        </w:tc>
        <w:tc>
          <w:tcPr>
            <w:tcW w:w="7320"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r>
    </w:tbl>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firstLine="320" w:firstLineChars="100"/>
        <w:jc w:val="left"/>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kern w:val="2"/>
          <w:sz w:val="32"/>
          <w:szCs w:val="32"/>
          <w:lang w:val="en-US" w:eastAsia="zh-CN" w:bidi="ar"/>
          <w14:textFill>
            <w14:solidFill>
              <w14:schemeClr w14:val="tx1"/>
            </w14:solidFill>
          </w14:textFill>
        </w:rPr>
        <w:t>三、收到和处理政府信息公开申请情况</w:t>
      </w:r>
    </w:p>
    <w:tbl>
      <w:tblPr>
        <w:tblStyle w:val="3"/>
        <w:tblW w:w="96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36"/>
        <w:gridCol w:w="906"/>
        <w:gridCol w:w="3217"/>
        <w:gridCol w:w="680"/>
        <w:gridCol w:w="680"/>
        <w:gridCol w:w="680"/>
        <w:gridCol w:w="680"/>
        <w:gridCol w:w="680"/>
        <w:gridCol w:w="680"/>
        <w:gridCol w:w="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（本列数据的勾稽关系为：第一项加第二项之和，等于第三项加第四项之和）</w:t>
            </w:r>
          </w:p>
        </w:tc>
        <w:tc>
          <w:tcPr>
            <w:tcW w:w="4760" w:type="dxa"/>
            <w:gridSpan w:val="7"/>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485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680" w:type="dxa"/>
            <w:vMerge w:val="restart"/>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自然人</w:t>
            </w:r>
          </w:p>
        </w:tc>
        <w:tc>
          <w:tcPr>
            <w:tcW w:w="3400" w:type="dxa"/>
            <w:gridSpan w:val="5"/>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法人或其他组织</w:t>
            </w:r>
          </w:p>
        </w:tc>
        <w:tc>
          <w:tcPr>
            <w:tcW w:w="680" w:type="dxa"/>
            <w:vMerge w:val="restart"/>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8" w:hRule="atLeast"/>
          <w:jc w:val="center"/>
        </w:trPr>
        <w:tc>
          <w:tcPr>
            <w:tcW w:w="485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680"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商业</w:t>
            </w:r>
          </w:p>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企业</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科研</w:t>
            </w:r>
          </w:p>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机构</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社会公益组织</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法律服务机构</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其他</w:t>
            </w:r>
          </w:p>
        </w:tc>
        <w:tc>
          <w:tcPr>
            <w:tcW w:w="680" w:type="dxa"/>
            <w:vMerge w:val="continue"/>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一、本年新收政府信息公开申请数量</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二、上年结转政府信息公开申请数量</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restart"/>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三、本年度办理结果</w:t>
            </w:r>
          </w:p>
        </w:tc>
        <w:tc>
          <w:tcPr>
            <w:tcW w:w="4123" w:type="dxa"/>
            <w:gridSpan w:val="2"/>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（一）予以公开</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jc w:val="center"/>
        </w:trPr>
        <w:tc>
          <w:tcPr>
            <w:tcW w:w="736"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4123" w:type="dxa"/>
            <w:gridSpan w:val="2"/>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（二）部分公开（区分处理的，只计这一情形，不计其他情形）</w:t>
            </w:r>
          </w:p>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 </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 </w:t>
            </w:r>
          </w:p>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firstLine="320" w:firstLineChars="1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906" w:type="dxa"/>
            <w:vMerge w:val="restart"/>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（三）不予公开</w:t>
            </w:r>
          </w:p>
        </w:tc>
        <w:tc>
          <w:tcPr>
            <w:tcW w:w="3217"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1.属于国家秘密</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906"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217"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1"/>
                <w:kern w:val="0"/>
                <w:sz w:val="32"/>
                <w:szCs w:val="32"/>
                <w:lang w:val="en-US" w:eastAsia="zh-CN" w:bidi="ar"/>
                <w14:textFill>
                  <w14:solidFill>
                    <w14:schemeClr w14:val="tx1"/>
                  </w14:solidFill>
                </w14:textFill>
              </w:rPr>
              <w:t>2.其他法律行政法规禁止公开</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906"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217"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3.危及“三安全一稳定”</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906"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217"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4.保护第三方合法权益</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906"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217"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5.属于三类内部事务信息</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906"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217"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6.属于四类过程性信息</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906"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217"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7.属于行政执法案卷</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906"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217"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8.属于行政查询事项</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906" w:type="dxa"/>
            <w:vMerge w:val="restart"/>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（四）无法提供</w:t>
            </w:r>
          </w:p>
        </w:tc>
        <w:tc>
          <w:tcPr>
            <w:tcW w:w="3217"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1.本机关不掌握相关政府信息</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736"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906"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217"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2.没有现成信息需要另行制作</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906"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217"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3.补正后申请内容仍不明确</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906" w:type="dxa"/>
            <w:vMerge w:val="restart"/>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（五）不予处理</w:t>
            </w:r>
          </w:p>
        </w:tc>
        <w:tc>
          <w:tcPr>
            <w:tcW w:w="3217"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1.信访举报投诉类申请</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906"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217"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2.重复申请</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906"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217"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3.要求提供公开出版物</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906"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217"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4.无正当理由大量反复申请</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1" w:hRule="atLeast"/>
          <w:jc w:val="center"/>
        </w:trPr>
        <w:tc>
          <w:tcPr>
            <w:tcW w:w="736"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906"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217"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5.要求行政机关确认或重新出具已获取信息</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8" w:hRule="atLeast"/>
          <w:jc w:val="center"/>
        </w:trPr>
        <w:tc>
          <w:tcPr>
            <w:tcW w:w="736"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906" w:type="dxa"/>
            <w:vMerge w:val="restart"/>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（六）其他处理</w:t>
            </w:r>
          </w:p>
        </w:tc>
        <w:tc>
          <w:tcPr>
            <w:tcW w:w="3217"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1.申请人无正当理由逾期不补正、行政机关不再处理其政府信息公开申请</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 </w:t>
            </w:r>
          </w:p>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8" w:hRule="atLeast"/>
          <w:jc w:val="center"/>
        </w:trPr>
        <w:tc>
          <w:tcPr>
            <w:tcW w:w="736"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906"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217"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2.申请人逾期未按收费通知要求缴纳费用、行政机关不再处理其政府信息公开申请</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 </w:t>
            </w:r>
          </w:p>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906"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217"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3.其他</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4123" w:type="dxa"/>
            <w:gridSpan w:val="2"/>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（七）总计</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8"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四、结转下年度继续办理</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680" w:type="dxa"/>
            <w:tcBorders>
              <w:top w:val="single" w:color="auto" w:sz="6" w:space="0"/>
              <w:left w:val="nil"/>
              <w:bottom w:val="single" w:color="auto" w:sz="6" w:space="0"/>
              <w:right w:val="single" w:color="auto" w:sz="6" w:space="0"/>
            </w:tcBorders>
            <w:shd w:val="clear" w:color="auto" w:fill="auto"/>
            <w:tcMar>
              <w:left w:w="60" w:type="dxa"/>
              <w:right w:w="60" w:type="dxa"/>
            </w:tcMar>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r>
    </w:tbl>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lang w:val="en-US" w:eastAsia="zh-CN" w:bidi="ar"/>
          <w14:textFill>
            <w14:solidFill>
              <w14:schemeClr w14:val="tx1"/>
            </w14:solidFill>
          </w14:textFill>
        </w:rPr>
        <w:t>四、政府信息公开行政复议、行政诉讼情况</w:t>
      </w:r>
    </w:p>
    <w:tbl>
      <w:tblPr>
        <w:tblStyle w:val="3"/>
        <w:tblW w:w="9894"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68"/>
        <w:gridCol w:w="568"/>
        <w:gridCol w:w="568"/>
        <w:gridCol w:w="568"/>
        <w:gridCol w:w="568"/>
        <w:gridCol w:w="829"/>
        <w:gridCol w:w="705"/>
        <w:gridCol w:w="825"/>
        <w:gridCol w:w="720"/>
        <w:gridCol w:w="405"/>
        <w:gridCol w:w="735"/>
        <w:gridCol w:w="750"/>
        <w:gridCol w:w="765"/>
        <w:gridCol w:w="78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84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行政复议</w:t>
            </w:r>
          </w:p>
        </w:tc>
        <w:tc>
          <w:tcPr>
            <w:tcW w:w="7054"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结果维持</w:t>
            </w:r>
          </w:p>
        </w:tc>
        <w:tc>
          <w:tcPr>
            <w:tcW w:w="5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结果纠正</w:t>
            </w:r>
          </w:p>
        </w:tc>
        <w:tc>
          <w:tcPr>
            <w:tcW w:w="5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其他结果</w:t>
            </w:r>
          </w:p>
        </w:tc>
        <w:tc>
          <w:tcPr>
            <w:tcW w:w="5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尚未审结</w:t>
            </w:r>
          </w:p>
        </w:tc>
        <w:tc>
          <w:tcPr>
            <w:tcW w:w="5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总计</w:t>
            </w:r>
          </w:p>
        </w:tc>
        <w:tc>
          <w:tcPr>
            <w:tcW w:w="348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fill="FFFFFF"/>
                <w:lang w:val="en-US" w:eastAsia="zh-CN" w:bidi="ar"/>
                <w14:textFill>
                  <w14:solidFill>
                    <w14:schemeClr w14:val="tx1"/>
                  </w14:solidFill>
                </w14:textFill>
              </w:rPr>
              <w:t>未经复议直接起诉</w:t>
            </w:r>
          </w:p>
        </w:tc>
        <w:tc>
          <w:tcPr>
            <w:tcW w:w="357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56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0" w:afterAutospacing="0" w:line="24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8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结果维持</w:t>
            </w: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结果纠正</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其他结果</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尚未审结</w:t>
            </w: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总计</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结果维持</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结果纠正</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其他结果</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尚未审结</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56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56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56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56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82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70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7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40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7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7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0</w:t>
            </w:r>
          </w:p>
        </w:tc>
      </w:tr>
    </w:tbl>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 </w:t>
      </w:r>
    </w:p>
    <w:p>
      <w:pPr>
        <w:pStyle w:val="2"/>
        <w:keepNext w:val="0"/>
        <w:keepLines w:val="0"/>
        <w:pageBreakBefore w:val="0"/>
        <w:widowControl/>
        <w:suppressLineNumbers w:val="0"/>
        <w:shd w:val="clear" w:fill="FFFFFF"/>
        <w:kinsoku/>
        <w:wordWrap/>
        <w:overflowPunct/>
        <w:topLinePunct w:val="0"/>
        <w:autoSpaceDN/>
        <w:bidi w:val="0"/>
        <w:adjustRightInd/>
        <w:snapToGrid/>
        <w:spacing w:before="0" w:beforeAutospacing="0" w:after="0" w:afterAutospacing="0" w:line="240" w:lineRule="auto"/>
        <w:ind w:left="0" w:right="0" w:firstLine="579" w:firstLineChars="181"/>
        <w:jc w:val="left"/>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bCs/>
          <w:color w:val="000000" w:themeColor="text1"/>
          <w:kern w:val="0"/>
          <w:sz w:val="32"/>
          <w:szCs w:val="32"/>
          <w:shd w:val="clear" w:fill="FFFFFF"/>
          <w14:textFill>
            <w14:solidFill>
              <w14:schemeClr w14:val="tx1"/>
            </w14:solidFill>
          </w14:textFill>
        </w:rPr>
        <w:t>五、</w:t>
      </w:r>
      <w:r>
        <w:rPr>
          <w:rFonts w:hint="eastAsia" w:ascii="黑体" w:hAnsi="黑体" w:eastAsia="黑体" w:cs="黑体"/>
          <w:bCs/>
          <w:color w:val="000000" w:themeColor="text1"/>
          <w:kern w:val="0"/>
          <w:sz w:val="32"/>
          <w:szCs w:val="32"/>
          <w:shd w:val="clear" w:fill="FFFFFF"/>
          <w:lang w:eastAsia="zh-CN"/>
          <w14:textFill>
            <w14:solidFill>
              <w14:schemeClr w14:val="tx1"/>
            </w14:solidFill>
          </w14:textFill>
        </w:rPr>
        <w:t>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iCs w:val="0"/>
          <w:caps w:val="0"/>
          <w:color w:val="000000" w:themeColor="text1"/>
          <w:spacing w:val="0"/>
          <w:kern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14:textFill>
            <w14:solidFill>
              <w14:schemeClr w14:val="tx1"/>
            </w14:solidFill>
          </w14:textFill>
        </w:rPr>
        <w:t>2023 年，我局政府信息公开工作虽取得了一定成效，但仍存在不足之处。一是主动公开意识不强，不及时公开或不公开信息的现象时有发生，一定程度上影响信息公开效果二是政策解读质量不高。由于</w:t>
      </w:r>
      <w:r>
        <w:rPr>
          <w:rFonts w:hint="eastAsia" w:ascii="仿宋_GB2312" w:hAnsi="仿宋_GB2312" w:eastAsia="仿宋_GB2312" w:cs="仿宋_GB2312"/>
          <w:i w:val="0"/>
          <w:iCs w:val="0"/>
          <w:caps w:val="0"/>
          <w:color w:val="000000" w:themeColor="text1"/>
          <w:spacing w:val="0"/>
          <w:kern w:val="0"/>
          <w:sz w:val="32"/>
          <w:szCs w:val="32"/>
          <w:shd w:val="clear" w:fill="FFFFFF"/>
          <w:lang w:eastAsia="zh-CN"/>
          <w14:textFill>
            <w14:solidFill>
              <w14:schemeClr w14:val="tx1"/>
            </w14:solidFill>
          </w14:textFill>
        </w:rPr>
        <w:t>民政</w:t>
      </w:r>
      <w:r>
        <w:rPr>
          <w:rFonts w:hint="eastAsia" w:ascii="仿宋_GB2312" w:hAnsi="仿宋_GB2312" w:eastAsia="仿宋_GB2312" w:cs="仿宋_GB2312"/>
          <w:i w:val="0"/>
          <w:iCs w:val="0"/>
          <w:caps w:val="0"/>
          <w:color w:val="000000" w:themeColor="text1"/>
          <w:spacing w:val="0"/>
          <w:kern w:val="0"/>
          <w:sz w:val="32"/>
          <w:szCs w:val="32"/>
          <w:shd w:val="clear" w:fill="FFFFFF"/>
          <w14:textFill>
            <w14:solidFill>
              <w14:schemeClr w14:val="tx1"/>
            </w14:solidFill>
          </w14:textFill>
        </w:rPr>
        <w:t>政策较</w:t>
      </w:r>
      <w:r>
        <w:rPr>
          <w:rFonts w:hint="eastAsia" w:ascii="仿宋_GB2312" w:hAnsi="仿宋_GB2312" w:eastAsia="仿宋_GB2312" w:cs="仿宋_GB2312"/>
          <w:i w:val="0"/>
          <w:iCs w:val="0"/>
          <w:caps w:val="0"/>
          <w:color w:val="000000" w:themeColor="text1"/>
          <w:spacing w:val="0"/>
          <w:kern w:val="0"/>
          <w:sz w:val="32"/>
          <w:szCs w:val="32"/>
          <w:shd w:val="clear" w:fill="FFFFFF"/>
          <w:lang w:eastAsia="zh-CN"/>
          <w14:textFill>
            <w14:solidFill>
              <w14:schemeClr w14:val="tx1"/>
            </w14:solidFill>
          </w14:textFill>
        </w:rPr>
        <w:t>多</w:t>
      </w:r>
      <w:r>
        <w:rPr>
          <w:rFonts w:hint="eastAsia" w:ascii="仿宋_GB2312" w:hAnsi="仿宋_GB2312" w:eastAsia="仿宋_GB2312" w:cs="仿宋_GB2312"/>
          <w:i w:val="0"/>
          <w:iCs w:val="0"/>
          <w:caps w:val="0"/>
          <w:color w:val="000000" w:themeColor="text1"/>
          <w:spacing w:val="0"/>
          <w:kern w:val="0"/>
          <w:sz w:val="32"/>
          <w:szCs w:val="32"/>
          <w:shd w:val="clear" w:fill="FFFFFF"/>
          <w14:textFill>
            <w14:solidFill>
              <w14:schemeClr w14:val="tx1"/>
            </w14:solidFill>
          </w14:textFill>
        </w:rPr>
        <w:t>，部分管理办法解读形式较为单一，不够详尽、生动，导致对部分</w:t>
      </w:r>
      <w:r>
        <w:rPr>
          <w:rFonts w:hint="eastAsia" w:ascii="仿宋_GB2312" w:hAnsi="仿宋_GB2312" w:eastAsia="仿宋_GB2312" w:cs="仿宋_GB2312"/>
          <w:i w:val="0"/>
          <w:iCs w:val="0"/>
          <w:caps w:val="0"/>
          <w:color w:val="000000" w:themeColor="text1"/>
          <w:spacing w:val="0"/>
          <w:kern w:val="0"/>
          <w:sz w:val="32"/>
          <w:szCs w:val="32"/>
          <w:shd w:val="clear" w:fill="FFFFFF"/>
          <w:lang w:eastAsia="zh-CN"/>
          <w14:textFill>
            <w14:solidFill>
              <w14:schemeClr w14:val="tx1"/>
            </w14:solidFill>
          </w14:textFill>
        </w:rPr>
        <w:t>民政</w:t>
      </w:r>
      <w:r>
        <w:rPr>
          <w:rFonts w:hint="eastAsia" w:ascii="仿宋_GB2312" w:hAnsi="仿宋_GB2312" w:eastAsia="仿宋_GB2312" w:cs="仿宋_GB2312"/>
          <w:i w:val="0"/>
          <w:iCs w:val="0"/>
          <w:caps w:val="0"/>
          <w:color w:val="000000" w:themeColor="text1"/>
          <w:spacing w:val="0"/>
          <w:kern w:val="0"/>
          <w:sz w:val="32"/>
          <w:szCs w:val="32"/>
          <w:shd w:val="clear" w:fill="FFFFFF"/>
          <w14:textFill>
            <w14:solidFill>
              <w14:schemeClr w14:val="tx1"/>
            </w14:solidFill>
          </w14:textFill>
        </w:rPr>
        <w:t>政策的内容解读未达到预期效果。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14:textFill>
            <w14:solidFill>
              <w14:schemeClr w14:val="tx1"/>
            </w14:solidFill>
          </w14:textFill>
        </w:rPr>
        <w:t>下一步，我局将改进政府信息公开工作方法，抓好落实</w:t>
      </w:r>
      <w:r>
        <w:rPr>
          <w:rFonts w:hint="eastAsia" w:ascii="仿宋_GB2312" w:hAnsi="仿宋_GB2312" w:eastAsia="仿宋_GB2312" w:cs="仿宋_GB2312"/>
          <w:i w:val="0"/>
          <w:iCs w:val="0"/>
          <w:caps w:val="0"/>
          <w:color w:val="000000" w:themeColor="text1"/>
          <w:spacing w:val="0"/>
          <w:kern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kern w:val="0"/>
          <w:sz w:val="32"/>
          <w:szCs w:val="32"/>
          <w:shd w:val="clear" w:fill="FFFFFF"/>
          <w14:textFill>
            <w14:solidFill>
              <w14:schemeClr w14:val="tx1"/>
            </w14:solidFill>
          </w14:textFill>
        </w:rPr>
        <w:t>一是持续深入贯彻落实《中华人民共和国政府信息公开条例》，进一步加强门户网站建设管理和内容维护使我局政府信息公开更为透明和及时。二是进一步加强政府信息公开日常管理工作，强化信息主动公开意识，围绕</w:t>
      </w:r>
      <w:r>
        <w:rPr>
          <w:rFonts w:hint="eastAsia" w:ascii="仿宋_GB2312" w:hAnsi="仿宋_GB2312" w:eastAsia="仿宋_GB2312" w:cs="仿宋_GB2312"/>
          <w:i w:val="0"/>
          <w:iCs w:val="0"/>
          <w:caps w:val="0"/>
          <w:color w:val="000000" w:themeColor="text1"/>
          <w:spacing w:val="0"/>
          <w:kern w:val="0"/>
          <w:sz w:val="32"/>
          <w:szCs w:val="32"/>
          <w:shd w:val="clear" w:fill="FFFFFF"/>
          <w:lang w:eastAsia="zh-CN"/>
          <w14:textFill>
            <w14:solidFill>
              <w14:schemeClr w14:val="tx1"/>
            </w14:solidFill>
          </w14:textFill>
        </w:rPr>
        <w:t>民政</w:t>
      </w:r>
      <w:r>
        <w:rPr>
          <w:rFonts w:hint="eastAsia" w:ascii="仿宋_GB2312" w:hAnsi="仿宋_GB2312" w:eastAsia="仿宋_GB2312" w:cs="仿宋_GB2312"/>
          <w:i w:val="0"/>
          <w:iCs w:val="0"/>
          <w:caps w:val="0"/>
          <w:color w:val="000000" w:themeColor="text1"/>
          <w:spacing w:val="0"/>
          <w:kern w:val="0"/>
          <w:sz w:val="32"/>
          <w:szCs w:val="32"/>
          <w:shd w:val="clear" w:fill="FFFFFF"/>
          <w14:textFill>
            <w14:solidFill>
              <w14:schemeClr w14:val="tx1"/>
            </w14:solidFill>
          </w14:textFill>
        </w:rPr>
        <w:t>重点领域政府信息公开，做好信息发布、解读回应及舆论监测等工作，不断提高政府信息公开标准化规范化水平</w:t>
      </w:r>
      <w:r>
        <w:rPr>
          <w:rFonts w:hint="eastAsia" w:ascii="仿宋_GB2312" w:hAnsi="仿宋_GB2312" w:eastAsia="仿宋_GB2312" w:cs="仿宋_GB2312"/>
          <w:i w:val="0"/>
          <w:iCs w:val="0"/>
          <w:caps w:val="0"/>
          <w:color w:val="000000" w:themeColor="text1"/>
          <w:spacing w:val="0"/>
          <w:kern w:val="0"/>
          <w:sz w:val="32"/>
          <w:szCs w:val="32"/>
          <w:shd w:val="clear" w:fill="FFFFFF"/>
          <w:lang w:eastAsia="zh-CN"/>
          <w14:textFill>
            <w14:solidFill>
              <w14:schemeClr w14:val="tx1"/>
            </w14:solidFill>
          </w14:textFill>
        </w:rPr>
        <w:t>。</w:t>
      </w:r>
    </w:p>
    <w:p>
      <w:pPr>
        <w:pStyle w:val="2"/>
        <w:keepNext w:val="0"/>
        <w:keepLines w:val="0"/>
        <w:pageBreakBefore w:val="0"/>
        <w:widowControl/>
        <w:numPr>
          <w:ilvl w:val="0"/>
          <w:numId w:val="0"/>
        </w:numPr>
        <w:suppressLineNumbers w:val="0"/>
        <w:shd w:val="clear" w:fill="FFFFFF"/>
        <w:kinsoku/>
        <w:wordWrap/>
        <w:overflowPunct/>
        <w:topLinePunct w:val="0"/>
        <w:autoSpaceDN/>
        <w:bidi w:val="0"/>
        <w:adjustRightInd/>
        <w:snapToGrid/>
        <w:spacing w:before="0" w:beforeAutospacing="0" w:after="0" w:afterAutospacing="0" w:line="240" w:lineRule="auto"/>
        <w:ind w:left="0" w:right="0" w:firstLine="579" w:firstLineChars="181"/>
        <w:jc w:val="lef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kern w:val="0"/>
          <w:sz w:val="32"/>
          <w:szCs w:val="32"/>
          <w:shd w:val="clear" w:fill="FFFFFF"/>
          <w14:textFill>
            <w14:solidFill>
              <w14:schemeClr w14:val="tx1"/>
            </w14:solidFill>
          </w14:textFill>
        </w:rPr>
        <w:t>六、其他需要报告的事项</w:t>
      </w:r>
    </w:p>
    <w:p>
      <w:pPr>
        <w:pStyle w:val="2"/>
        <w:keepNext w:val="0"/>
        <w:keepLines w:val="0"/>
        <w:pageBreakBefore w:val="0"/>
        <w:widowControl/>
        <w:suppressLineNumbers w:val="0"/>
        <w:shd w:val="clear" w:fill="FFFFFF"/>
        <w:kinsoku/>
        <w:wordWrap/>
        <w:overflowPunct/>
        <w:topLinePunct w:val="0"/>
        <w:autoSpaceDN/>
        <w:bidi w:val="0"/>
        <w:adjustRightInd/>
        <w:snapToGrid/>
        <w:spacing w:before="0" w:beforeAutospacing="0" w:after="0" w:afterAutospacing="0" w:line="240" w:lineRule="auto"/>
        <w:ind w:left="380" w:leftChars="181" w:right="0" w:rightChars="0" w:firstLine="320" w:firstLineChars="1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14:textFill>
            <w14:solidFill>
              <w14:schemeClr w14:val="tx1"/>
            </w14:solidFill>
          </w14:textFill>
        </w:rPr>
        <w:t>1、202</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kern w:val="0"/>
          <w:sz w:val="32"/>
          <w:szCs w:val="32"/>
          <w:shd w:val="clear" w:fill="FFFFFF"/>
          <w14:textFill>
            <w14:solidFill>
              <w14:schemeClr w14:val="tx1"/>
            </w14:solidFill>
          </w14:textFill>
        </w:rPr>
        <w:t>年度无收取信息处理费情况。</w:t>
      </w:r>
    </w:p>
    <w:p>
      <w:pPr>
        <w:pStyle w:val="2"/>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14:textFill>
            <w14:solidFill>
              <w14:schemeClr w14:val="tx1"/>
            </w14:solidFill>
          </w14:textFill>
        </w:rPr>
        <w:t>2、本年度报告的电子版可以从万载县人民政府网站（http://www.wanzai.gov.cn）下载。</w:t>
      </w:r>
      <w:r>
        <w:rPr>
          <w:rFonts w:hint="eastAsia" w:ascii="仿宋_GB2312" w:hAnsi="仿宋_GB2312" w:eastAsia="仿宋_GB2312" w:cs="仿宋_GB2312"/>
          <w:color w:val="000000" w:themeColor="text1"/>
          <w:kern w:val="2"/>
          <w:sz w:val="32"/>
          <w:szCs w:val="32"/>
          <w14:textFill>
            <w14:solidFill>
              <w14:schemeClr w14:val="tx1"/>
            </w14:solidFill>
          </w14:textFill>
        </w:rPr>
        <w:t>如对本报告有任何疑问，请与万载县民政局办公室联系</w:t>
      </w:r>
      <w:r>
        <w:rPr>
          <w:rFonts w:hint="eastAsia" w:ascii="仿宋_GB2312" w:hAnsi="仿宋_GB2312" w:eastAsia="仿宋_GB2312" w:cs="仿宋_GB2312"/>
          <w:i w:val="0"/>
          <w:caps w:val="0"/>
          <w:color w:val="000000" w:themeColor="text1"/>
          <w:spacing w:val="0"/>
          <w:kern w:val="0"/>
          <w:sz w:val="32"/>
          <w:szCs w:val="32"/>
          <w14:textFill>
            <w14:solidFill>
              <w14:schemeClr w14:val="tx1"/>
            </w14:solidFill>
          </w14:textFill>
        </w:rPr>
        <w:t>（地址：万载县康乐街道东升村虎形垴</w:t>
      </w:r>
      <w:r>
        <w:rPr>
          <w:rFonts w:hint="eastAsia" w:ascii="仿宋_GB2312" w:hAnsi="仿宋_GB2312" w:eastAsia="仿宋_GB2312" w:cs="仿宋_GB2312"/>
          <w:i w:val="0"/>
          <w:caps w:val="0"/>
          <w:color w:val="000000" w:themeColor="text1"/>
          <w:spacing w:val="0"/>
          <w:kern w:val="0"/>
          <w:sz w:val="32"/>
          <w:szCs w:val="32"/>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kern w:val="0"/>
          <w:sz w:val="32"/>
          <w:szCs w:val="32"/>
          <w14:textFill>
            <w14:solidFill>
              <w14:schemeClr w14:val="tx1"/>
            </w14:solidFill>
          </w14:textFill>
        </w:rPr>
        <w:t>县福利院内</w:t>
      </w:r>
      <w:r>
        <w:rPr>
          <w:rFonts w:hint="eastAsia" w:ascii="仿宋_GB2312" w:hAnsi="仿宋_GB2312" w:eastAsia="仿宋_GB2312" w:cs="仿宋_GB2312"/>
          <w:i w:val="0"/>
          <w:caps w:val="0"/>
          <w:color w:val="000000" w:themeColor="text1"/>
          <w:spacing w:val="0"/>
          <w:kern w:val="0"/>
          <w:sz w:val="32"/>
          <w:szCs w:val="32"/>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kern w:val="0"/>
          <w:sz w:val="32"/>
          <w:szCs w:val="32"/>
          <w14:textFill>
            <w14:solidFill>
              <w14:schemeClr w14:val="tx1"/>
            </w14:solidFill>
          </w14:textFill>
        </w:rPr>
        <w:t>，联系电话0795-8823145）。</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rightChars="0" w:firstLine="5440" w:firstLineChars="1700"/>
        <w:jc w:val="left"/>
        <w:textAlignment w:val="auto"/>
        <w:rPr>
          <w:rFonts w:hint="eastAsia" w:ascii="仿宋_GB2312" w:hAnsi="仿宋_GB2312" w:eastAsia="仿宋_GB2312" w:cs="仿宋_GB2312"/>
          <w:color w:val="000000" w:themeColor="text1"/>
          <w:kern w:val="0"/>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fill="FFFFFF"/>
          <w14:textFill>
            <w14:solidFill>
              <w14:schemeClr w14:val="tx1"/>
            </w14:solidFill>
          </w14:textFill>
        </w:rPr>
        <w:t> </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rightChars="0" w:firstLine="5760" w:firstLineChars="18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fill="FFFFFF"/>
          <w14:textFill>
            <w14:solidFill>
              <w14:schemeClr w14:val="tx1"/>
            </w14:solidFill>
          </w14:textFill>
        </w:rPr>
        <w:t> 万载县民政局</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rightChars="0" w:firstLine="5440" w:firstLineChars="17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fill="FFFFFF"/>
          <w14:textFill>
            <w14:solidFill>
              <w14:schemeClr w14:val="tx1"/>
            </w14:solidFill>
          </w14:textFill>
        </w:rPr>
        <w:t> 202</w:t>
      </w:r>
      <w:r>
        <w:rPr>
          <w:rFonts w:hint="eastAsia" w:ascii="仿宋_GB2312" w:hAnsi="仿宋_GB2312" w:eastAsia="仿宋_GB2312" w:cs="仿宋_GB2312"/>
          <w:color w:val="000000" w:themeColor="text1"/>
          <w:kern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shd w:val="clear" w:fill="FFFFFF"/>
          <w14:textFill>
            <w14:solidFill>
              <w14:schemeClr w14:val="tx1"/>
            </w14:solidFill>
          </w14:textFill>
        </w:rPr>
        <w:t>年12月31日</w:t>
      </w:r>
      <w:r>
        <w:rPr>
          <w:rFonts w:hint="eastAsia" w:ascii="仿宋_GB2312" w:hAnsi="仿宋_GB2312" w:eastAsia="仿宋_GB2312" w:cs="仿宋_GB2312"/>
          <w:color w:val="000000" w:themeColor="text1"/>
          <w:kern w:val="2"/>
          <w:sz w:val="32"/>
          <w:szCs w:val="32"/>
          <w14:textFill>
            <w14:solidFill>
              <w14:schemeClr w14:val="tx1"/>
            </w14:solidFill>
          </w14:textFill>
        </w:rPr>
        <w:t> </w:t>
      </w:r>
    </w:p>
    <w:p>
      <w:pPr>
        <w:keepNext w:val="0"/>
        <w:keepLines w:val="0"/>
        <w:pageBreakBefore w:val="0"/>
        <w:widowControl/>
        <w:suppressLineNumbers w:val="0"/>
        <w:kinsoku/>
        <w:wordWrap/>
        <w:overflowPunct/>
        <w:topLinePunct w:val="0"/>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 </w:t>
      </w:r>
    </w:p>
    <w:p>
      <w:pPr>
        <w:keepNext w:val="0"/>
        <w:keepLines w:val="0"/>
        <w:pageBreakBefore w:val="0"/>
        <w:kinsoku/>
        <w:wordWrap/>
        <w:overflowPunct/>
        <w:topLinePunct w:val="0"/>
        <w:autoSpaceDN/>
        <w:bidi w:val="0"/>
        <w:adjustRightInd/>
        <w:snapToGrid/>
        <w:spacing w:beforeAutospacing="0" w:afterAutospacing="0" w:line="240" w:lineRule="auto"/>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hZGNmMDZhMzI4Y2E5NDg4MWVhMjAzNjRhNGIxMDgifQ=="/>
  </w:docVars>
  <w:rsids>
    <w:rsidRoot w:val="00000000"/>
    <w:rsid w:val="01AF5009"/>
    <w:rsid w:val="120417C2"/>
    <w:rsid w:val="16D50586"/>
    <w:rsid w:val="2009285E"/>
    <w:rsid w:val="245A09C0"/>
    <w:rsid w:val="4F925BD0"/>
    <w:rsid w:val="525D67CE"/>
    <w:rsid w:val="592F78D7"/>
    <w:rsid w:val="5C6729DB"/>
    <w:rsid w:val="5D9A47C5"/>
    <w:rsid w:val="7D945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rPr>
      <w:rFonts w:ascii="Calibri" w:hAnsi="Calibri" w:eastAsia="仿宋_GB2312"/>
      <w:sz w:val="32"/>
    </w:rPr>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2023-11-20T07:32:00Z</dcterms:created>
  <dc:creator>Administrator</dc:creator>
  <cp:lastModifiedBy>郭琳</cp:lastModifiedBy>
  <dcterms:modified xsi:type="dcterms:W3CDTF">2024-04-10T08:27:03Z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9E770A23E1464ACA93317A9409F858BD_13</vt:lpwstr>
  </property>
</Properties>
</file>