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宋体" w:hAnsi="华文宋体" w:eastAsia="华文宋体" w:cs="华文宋体"/>
          <w:b/>
          <w:bCs/>
          <w:sz w:val="28"/>
          <w:szCs w:val="28"/>
        </w:rPr>
      </w:pPr>
    </w:p>
    <w:p>
      <w:pPr>
        <w:keepNext w:val="0"/>
        <w:keepLines w:val="0"/>
        <w:widowControl/>
        <w:suppressLineNumbers w:val="0"/>
        <w:pBdr>
          <w:top w:val="none" w:color="auto" w:sz="0" w:space="0"/>
        </w:pBdr>
        <w:spacing w:before="45" w:beforeAutospacing="0"/>
        <w:jc w:val="center"/>
        <w:rPr>
          <w:rFonts w:hint="eastAsia" w:ascii="Times New Roman" w:hAnsi="Times New Roman" w:eastAsia="方正小标宋简体" w:cs="Times New Roman"/>
          <w:color w:val="000000" w:themeColor="text1"/>
          <w:sz w:val="44"/>
          <w:szCs w:val="44"/>
          <w:lang w:val="en-US" w:eastAsia="zh-CN"/>
        </w:rPr>
      </w:pPr>
      <w:r>
        <w:rPr>
          <w:rFonts w:hint="eastAsia" w:ascii="Times New Roman" w:hAnsi="Times New Roman" w:eastAsia="方正小标宋简体" w:cs="Times New Roman"/>
          <w:color w:val="000000" w:themeColor="text1"/>
          <w:sz w:val="44"/>
          <w:szCs w:val="44"/>
          <w:lang w:val="en-US" w:eastAsia="zh-CN"/>
        </w:rPr>
        <w:t>万载县统计局2021年政府信息</w:t>
      </w:r>
    </w:p>
    <w:p>
      <w:pPr>
        <w:keepNext w:val="0"/>
        <w:keepLines w:val="0"/>
        <w:widowControl/>
        <w:suppressLineNumbers w:val="0"/>
        <w:pBdr>
          <w:top w:val="none" w:color="auto" w:sz="0" w:space="0"/>
        </w:pBdr>
        <w:spacing w:before="45" w:beforeAutospacing="0"/>
        <w:jc w:val="center"/>
        <w:rPr>
          <w:rFonts w:ascii="微软雅黑" w:hAnsi="微软雅黑" w:eastAsia="微软雅黑" w:cs="微软雅黑"/>
        </w:rPr>
      </w:pPr>
      <w:r>
        <w:rPr>
          <w:rFonts w:hint="eastAsia" w:ascii="Times New Roman" w:hAnsi="Times New Roman" w:eastAsia="方正小标宋简体" w:cs="Times New Roman"/>
          <w:color w:val="000000" w:themeColor="text1"/>
          <w:sz w:val="44"/>
          <w:szCs w:val="44"/>
          <w:lang w:val="en-US" w:eastAsia="zh-CN"/>
        </w:rPr>
        <w:t>公开工作年度报告</w:t>
      </w:r>
    </w:p>
    <w:p>
      <w:pPr>
        <w:pStyle w:val="6"/>
        <w:keepNext w:val="0"/>
        <w:keepLines w:val="0"/>
        <w:widowControl/>
        <w:suppressLineNumbers w:val="0"/>
        <w:spacing w:before="46" w:beforeAutospacing="0" w:after="0" w:afterAutospacing="0" w:line="600" w:lineRule="atLeast"/>
        <w:ind w:left="0" w:right="0" w:firstLine="645"/>
        <w:jc w:val="both"/>
        <w:rPr>
          <w:rFonts w:ascii="仿宋_gb2312" w:hAnsi="仿宋_gb2312" w:eastAsia="仿宋_gb2312" w:cs="仿宋_gb2312"/>
          <w:sz w:val="31"/>
          <w:szCs w:val="31"/>
        </w:rPr>
      </w:pPr>
      <w:r>
        <w:rPr>
          <w:rFonts w:ascii="仿宋_gb2312" w:hAnsi="仿宋_gb2312" w:eastAsia="仿宋_gb2312" w:cs="仿宋_gb2312"/>
          <w:sz w:val="31"/>
          <w:szCs w:val="31"/>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5"/>
        <w:jc w:val="both"/>
        <w:textAlignment w:val="auto"/>
        <w:rPr>
          <w:rFonts w:ascii="Times New Roman" w:hAnsi="Times New Roman" w:eastAsia="仿宋_GB2312" w:cs="Times New Roman"/>
          <w:color w:val="000000" w:themeColor="text1"/>
          <w:kern w:val="2"/>
          <w:sz w:val="32"/>
          <w:szCs w:val="32"/>
          <w:lang w:val="en-US" w:eastAsia="zh-CN" w:bidi="ar-SA"/>
        </w:rPr>
      </w:pPr>
      <w:r>
        <w:rPr>
          <w:rFonts w:ascii="Times New Roman" w:hAnsi="Times New Roman" w:eastAsia="仿宋_GB2312" w:cs="Times New Roman"/>
          <w:color w:val="000000" w:themeColor="text1"/>
          <w:kern w:val="2"/>
          <w:sz w:val="32"/>
          <w:szCs w:val="32"/>
          <w:lang w:val="en-US" w:eastAsia="zh-CN" w:bidi="ar-SA"/>
        </w:rPr>
        <w:t>本年度报告根据《中华人民共和国政府信息公开条例》（以下简称《条例》）要求，汇总</w:t>
      </w:r>
      <w:r>
        <w:rPr>
          <w:rFonts w:hint="default" w:ascii="Times New Roman" w:hAnsi="Times New Roman" w:eastAsia="仿宋_GB2312" w:cs="Times New Roman"/>
          <w:color w:val="000000" w:themeColor="text1"/>
          <w:kern w:val="2"/>
          <w:sz w:val="32"/>
          <w:szCs w:val="32"/>
          <w:lang w:val="en-US" w:eastAsia="zh-CN" w:bidi="ar-SA"/>
        </w:rPr>
        <w:t>202</w:t>
      </w:r>
      <w:r>
        <w:rPr>
          <w:rFonts w:hint="eastAsia" w:ascii="Times New Roman" w:hAnsi="Times New Roman" w:eastAsia="仿宋_GB2312" w:cs="Times New Roman"/>
          <w:color w:val="000000" w:themeColor="text1"/>
          <w:kern w:val="2"/>
          <w:sz w:val="32"/>
          <w:szCs w:val="32"/>
          <w:lang w:val="en-US" w:eastAsia="zh-CN" w:bidi="ar-SA"/>
        </w:rPr>
        <w:t>1</w:t>
      </w:r>
      <w:r>
        <w:rPr>
          <w:rFonts w:hint="default" w:ascii="Times New Roman" w:hAnsi="Times New Roman" w:eastAsia="仿宋_GB2312" w:cs="Times New Roman"/>
          <w:color w:val="000000" w:themeColor="text1"/>
          <w:kern w:val="2"/>
          <w:sz w:val="32"/>
          <w:szCs w:val="32"/>
          <w:lang w:val="en-US" w:eastAsia="zh-CN" w:bidi="ar-SA"/>
        </w:rPr>
        <w:t>年统计局的政府信息公开年度报告编制而成。报告包括总体情况概述、主动公开政府信息情况、收到和处理政府信息公开申请情况、政府信息公开行政复议、行政诉讼情况和其他需要报告的事项等。报告中所列数据的统计期限自202</w:t>
      </w:r>
      <w:r>
        <w:rPr>
          <w:rFonts w:hint="eastAsia" w:ascii="Times New Roman" w:hAnsi="Times New Roman" w:eastAsia="仿宋_GB2312" w:cs="Times New Roman"/>
          <w:color w:val="000000" w:themeColor="text1"/>
          <w:kern w:val="2"/>
          <w:sz w:val="32"/>
          <w:szCs w:val="32"/>
          <w:lang w:val="en-US" w:eastAsia="zh-CN" w:bidi="ar-SA"/>
        </w:rPr>
        <w:t>1</w:t>
      </w:r>
      <w:r>
        <w:rPr>
          <w:rFonts w:hint="default" w:ascii="Times New Roman" w:hAnsi="Times New Roman" w:eastAsia="仿宋_GB2312" w:cs="Times New Roman"/>
          <w:color w:val="000000" w:themeColor="text1"/>
          <w:kern w:val="2"/>
          <w:sz w:val="32"/>
          <w:szCs w:val="32"/>
          <w:lang w:val="en-US" w:eastAsia="zh-CN" w:bidi="ar-SA"/>
        </w:rPr>
        <w:t>年1月1日起至202</w:t>
      </w:r>
      <w:r>
        <w:rPr>
          <w:rFonts w:hint="eastAsia" w:ascii="Times New Roman" w:hAnsi="Times New Roman" w:eastAsia="仿宋_GB2312" w:cs="Times New Roman"/>
          <w:color w:val="000000" w:themeColor="text1"/>
          <w:kern w:val="2"/>
          <w:sz w:val="32"/>
          <w:szCs w:val="32"/>
          <w:lang w:val="en-US" w:eastAsia="zh-CN" w:bidi="ar-SA"/>
        </w:rPr>
        <w:t>1</w:t>
      </w:r>
      <w:r>
        <w:rPr>
          <w:rFonts w:hint="default" w:ascii="Times New Roman" w:hAnsi="Times New Roman" w:eastAsia="仿宋_GB2312" w:cs="Times New Roman"/>
          <w:color w:val="000000" w:themeColor="text1"/>
          <w:kern w:val="2"/>
          <w:sz w:val="32"/>
          <w:szCs w:val="32"/>
          <w:lang w:val="en-US" w:eastAsia="zh-CN" w:bidi="ar-SA"/>
        </w:rPr>
        <w:t>年12月31日止。如对本报告有疑问，请联系万载县统计局办公室，通信地址：万载县党政大楼703室；联系电话：8826821；邮政编码：336100。</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ascii="Times New Roman" w:hAnsi="Times New Roman" w:eastAsia="仿宋_GB2312" w:cs="Times New Roman"/>
          <w:color w:val="000000" w:themeColor="text1"/>
          <w:kern w:val="2"/>
          <w:sz w:val="32"/>
          <w:szCs w:val="32"/>
          <w:lang w:val="en-US" w:eastAsia="zh-CN" w:bidi="ar-SA"/>
        </w:rPr>
      </w:pPr>
      <w:r>
        <w:rPr>
          <w:rFonts w:hint="eastAsia" w:ascii="黑体" w:hAnsi="黑体" w:eastAsia="黑体" w:cs="黑体"/>
          <w:color w:val="000000" w:themeColor="text1"/>
          <w:kern w:val="2"/>
          <w:sz w:val="32"/>
          <w:szCs w:val="32"/>
          <w:lang w:val="en-US" w:eastAsia="zh-CN" w:bidi="ar-SA"/>
        </w:rPr>
        <w:t>一、总体情况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202</w:t>
      </w:r>
      <w:r>
        <w:rPr>
          <w:rFonts w:hint="eastAsia" w:ascii="Times New Roman" w:hAnsi="Times New Roman" w:eastAsia="仿宋_GB2312" w:cs="Times New Roman"/>
          <w:color w:val="000000" w:themeColor="text1"/>
          <w:kern w:val="2"/>
          <w:sz w:val="32"/>
          <w:szCs w:val="32"/>
          <w:lang w:val="en-US" w:eastAsia="zh-CN" w:bidi="ar-SA"/>
        </w:rPr>
        <w:t>1</w:t>
      </w:r>
      <w:r>
        <w:rPr>
          <w:rFonts w:hint="default" w:ascii="Times New Roman" w:hAnsi="Times New Roman" w:eastAsia="仿宋_GB2312" w:cs="Times New Roman"/>
          <w:color w:val="000000" w:themeColor="text1"/>
          <w:kern w:val="2"/>
          <w:sz w:val="32"/>
          <w:szCs w:val="32"/>
          <w:lang w:val="en-US" w:eastAsia="zh-CN" w:bidi="ar-SA"/>
        </w:rPr>
        <w:t>年度，统计局以习近平新时代中国特色社会主义思想为指导，持续深入贯彻落实习近平总书记视察江西重要讲话精神，根据《20</w:t>
      </w:r>
      <w:r>
        <w:rPr>
          <w:rFonts w:hint="eastAsia" w:ascii="Times New Roman" w:hAnsi="Times New Roman" w:eastAsia="仿宋_GB2312" w:cs="Times New Roman"/>
          <w:color w:val="000000" w:themeColor="text1"/>
          <w:kern w:val="2"/>
          <w:sz w:val="32"/>
          <w:szCs w:val="32"/>
          <w:lang w:val="en-US" w:eastAsia="zh-CN" w:bidi="ar-SA"/>
        </w:rPr>
        <w:t>21</w:t>
      </w:r>
      <w:r>
        <w:rPr>
          <w:rFonts w:hint="default" w:ascii="Times New Roman" w:hAnsi="Times New Roman" w:eastAsia="仿宋_GB2312" w:cs="Times New Roman"/>
          <w:color w:val="000000" w:themeColor="text1"/>
          <w:kern w:val="2"/>
          <w:sz w:val="32"/>
          <w:szCs w:val="32"/>
          <w:lang w:val="en-US" w:eastAsia="zh-CN" w:bidi="ar-SA"/>
        </w:rPr>
        <w:t>年万载县政务公开工作要点》，</w:t>
      </w:r>
      <w:r>
        <w:rPr>
          <w:rFonts w:hint="eastAsia" w:ascii="Times New Roman" w:hAnsi="Times New Roman" w:eastAsia="仿宋_GB2312" w:cs="Times New Roman"/>
          <w:color w:val="000000" w:themeColor="text1"/>
          <w:kern w:val="2"/>
          <w:sz w:val="32"/>
          <w:szCs w:val="32"/>
          <w:lang w:val="en-US" w:eastAsia="zh-CN" w:bidi="ar-SA"/>
        </w:rPr>
        <w:t>聚焦</w:t>
      </w:r>
      <w:r>
        <w:rPr>
          <w:rFonts w:hint="default" w:ascii="Times New Roman" w:hAnsi="Times New Roman" w:eastAsia="仿宋_GB2312" w:cs="Times New Roman"/>
          <w:color w:val="000000" w:themeColor="text1"/>
          <w:kern w:val="2"/>
          <w:sz w:val="32"/>
          <w:szCs w:val="32"/>
          <w:lang w:val="en-US" w:eastAsia="zh-CN" w:bidi="ar-SA"/>
        </w:rPr>
        <w:t>进一步加强全县政务公开工作，建立健全规范、有序、高效的工作机制，持续深化“五型”政府建设，助力打造“四最”一流营商环境，结合</w:t>
      </w:r>
      <w:r>
        <w:rPr>
          <w:rFonts w:hint="eastAsia" w:ascii="Times New Roman" w:hAnsi="Times New Roman" w:eastAsia="仿宋_GB2312" w:cs="Times New Roman"/>
          <w:color w:val="000000" w:themeColor="text1"/>
          <w:kern w:val="2"/>
          <w:sz w:val="32"/>
          <w:szCs w:val="32"/>
          <w:lang w:val="en-US" w:eastAsia="zh-CN" w:bidi="ar-SA"/>
        </w:rPr>
        <w:t>党史学习教育要求</w:t>
      </w:r>
      <w:r>
        <w:rPr>
          <w:rFonts w:hint="default" w:ascii="Times New Roman" w:hAnsi="Times New Roman" w:eastAsia="仿宋_GB2312" w:cs="Times New Roman"/>
          <w:color w:val="000000" w:themeColor="text1"/>
          <w:kern w:val="2"/>
          <w:sz w:val="32"/>
          <w:szCs w:val="32"/>
          <w:lang w:val="en-US" w:eastAsia="zh-CN" w:bidi="ar-SA"/>
        </w:rPr>
        <w:t xml:space="preserve">，紧紧围绕统计中心工作，克服疫情带来的影响，始终坚持做好统计服务，通过拓宽平台、创新方式，全力做好政府信息公开工作。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一）加强组织，保障信息公开工作。根据局领导班子调整，及时调整局政府信息公开领导小组，明确分工，落实责任，高效、准确做好政府信息公开工作。局党组定期召开会议听取工作汇报，研究部署下一步工作。明确信息公开联络员，形成决策、指导和操作有机结合，一级抓一级，层层抓落实的工作机制。紧密结合政府信息公开制度、政务服务制度、保密制度和《统计法》等法律法规健全工作制度，制定完善《</w:t>
      </w:r>
      <w:r>
        <w:rPr>
          <w:rFonts w:hint="eastAsia" w:ascii="Times New Roman" w:hAnsi="Times New Roman" w:eastAsia="仿宋_GB2312" w:cs="Times New Roman"/>
          <w:color w:val="000000" w:themeColor="text1"/>
          <w:kern w:val="2"/>
          <w:sz w:val="32"/>
          <w:szCs w:val="32"/>
          <w:lang w:val="en-US" w:eastAsia="zh-CN" w:bidi="ar-SA"/>
        </w:rPr>
        <w:t>万载</w:t>
      </w:r>
      <w:r>
        <w:rPr>
          <w:rFonts w:hint="default" w:ascii="Times New Roman" w:hAnsi="Times New Roman" w:eastAsia="仿宋_GB2312" w:cs="Times New Roman"/>
          <w:color w:val="000000" w:themeColor="text1"/>
          <w:kern w:val="2"/>
          <w:sz w:val="32"/>
          <w:szCs w:val="32"/>
          <w:lang w:val="en-US" w:eastAsia="zh-CN" w:bidi="ar-SA"/>
        </w:rPr>
        <w:t>县统计局信息公开指南》，明确公开内容，规范公开行为，完善监督措施。强化政务公开业务培训，组织专题学习会议，对包括财务、办公室、综合</w:t>
      </w:r>
      <w:r>
        <w:rPr>
          <w:rFonts w:hint="eastAsia" w:ascii="Times New Roman" w:hAnsi="Times New Roman" w:eastAsia="仿宋_GB2312" w:cs="Times New Roman"/>
          <w:color w:val="000000" w:themeColor="text1"/>
          <w:kern w:val="2"/>
          <w:sz w:val="32"/>
          <w:szCs w:val="32"/>
          <w:lang w:val="en-US" w:eastAsia="zh-CN" w:bidi="ar-SA"/>
        </w:rPr>
        <w:t>股</w:t>
      </w:r>
      <w:r>
        <w:rPr>
          <w:rFonts w:hint="default" w:ascii="Times New Roman" w:hAnsi="Times New Roman" w:eastAsia="仿宋_GB2312" w:cs="Times New Roman"/>
          <w:color w:val="000000" w:themeColor="text1"/>
          <w:kern w:val="2"/>
          <w:sz w:val="32"/>
          <w:szCs w:val="32"/>
          <w:lang w:val="en-US" w:eastAsia="zh-CN" w:bidi="ar-SA"/>
        </w:rPr>
        <w:t>、普查中心及各专业</w:t>
      </w:r>
      <w:r>
        <w:rPr>
          <w:rFonts w:hint="eastAsia" w:ascii="Times New Roman" w:hAnsi="Times New Roman" w:eastAsia="仿宋_GB2312" w:cs="Times New Roman"/>
          <w:color w:val="000000" w:themeColor="text1"/>
          <w:kern w:val="2"/>
          <w:sz w:val="32"/>
          <w:szCs w:val="32"/>
          <w:lang w:val="en-US" w:eastAsia="zh-CN" w:bidi="ar-SA"/>
        </w:rPr>
        <w:t>股</w:t>
      </w:r>
      <w:r>
        <w:rPr>
          <w:rFonts w:hint="default" w:ascii="Times New Roman" w:hAnsi="Times New Roman" w:eastAsia="仿宋_GB2312" w:cs="Times New Roman"/>
          <w:color w:val="000000" w:themeColor="text1"/>
          <w:kern w:val="2"/>
          <w:sz w:val="32"/>
          <w:szCs w:val="32"/>
          <w:lang w:val="en-US" w:eastAsia="zh-CN" w:bidi="ar-SA"/>
        </w:rPr>
        <w:t>室人员进行培训，提高各相关科室政务公开工作能力和水平。加强经费保障，确保政务公开工作顺利完成。</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eastAsia"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（二）主动公开情况</w:t>
      </w:r>
      <w:r>
        <w:rPr>
          <w:rFonts w:hint="eastAsia" w:ascii="Times New Roman" w:hAnsi="Times New Roman" w:eastAsia="仿宋_GB2312" w:cs="Times New Roman"/>
          <w:color w:val="000000" w:themeColor="text1"/>
          <w:kern w:val="2"/>
          <w:sz w:val="32"/>
          <w:szCs w:val="32"/>
          <w:lang w:val="en-US" w:eastAsia="zh-CN" w:bidi="ar-SA"/>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jc w:val="both"/>
        <w:textAlignment w:val="auto"/>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一是按时编撰发布《统计月报》。每月及时收集汇总全县、各乡镇街道、</w:t>
      </w:r>
      <w:r>
        <w:rPr>
          <w:rFonts w:hint="eastAsia" w:ascii="Times New Roman" w:hAnsi="Times New Roman" w:eastAsia="仿宋_GB2312" w:cs="Times New Roman"/>
          <w:color w:val="000000" w:themeColor="text1"/>
          <w:kern w:val="2"/>
          <w:sz w:val="32"/>
          <w:szCs w:val="32"/>
          <w:lang w:val="en-US" w:eastAsia="zh-CN" w:bidi="ar-SA"/>
        </w:rPr>
        <w:t>全市</w:t>
      </w:r>
      <w:r>
        <w:rPr>
          <w:rFonts w:hint="default" w:ascii="Times New Roman" w:hAnsi="Times New Roman" w:eastAsia="仿宋_GB2312" w:cs="Times New Roman"/>
          <w:color w:val="000000" w:themeColor="text1"/>
          <w:kern w:val="2"/>
          <w:sz w:val="32"/>
          <w:szCs w:val="32"/>
          <w:lang w:val="en-US" w:eastAsia="zh-CN" w:bidi="ar-SA"/>
        </w:rPr>
        <w:t>主要经济运行数据，编辑整理成手册资料《统计月报》，报送四</w:t>
      </w:r>
      <w:r>
        <w:rPr>
          <w:rFonts w:hint="eastAsia" w:ascii="Times New Roman" w:hAnsi="Times New Roman" w:eastAsia="仿宋_GB2312" w:cs="Times New Roman"/>
          <w:color w:val="000000" w:themeColor="text1"/>
          <w:kern w:val="2"/>
          <w:sz w:val="32"/>
          <w:szCs w:val="32"/>
          <w:lang w:val="en-US" w:eastAsia="zh-CN" w:bidi="ar-SA"/>
        </w:rPr>
        <w:t>套</w:t>
      </w:r>
      <w:r>
        <w:rPr>
          <w:rFonts w:hint="default" w:ascii="Times New Roman" w:hAnsi="Times New Roman" w:eastAsia="仿宋_GB2312" w:cs="Times New Roman"/>
          <w:color w:val="000000" w:themeColor="text1"/>
          <w:kern w:val="2"/>
          <w:sz w:val="32"/>
          <w:szCs w:val="32"/>
          <w:lang w:val="en-US" w:eastAsia="zh-CN" w:bidi="ar-SA"/>
        </w:rPr>
        <w:t>班子主要领导以及县委、</w:t>
      </w:r>
      <w:r>
        <w:rPr>
          <w:rFonts w:hint="eastAsia" w:ascii="Times New Roman" w:hAnsi="Times New Roman" w:eastAsia="仿宋_GB2312" w:cs="Times New Roman"/>
          <w:color w:val="000000" w:themeColor="text1"/>
          <w:kern w:val="2"/>
          <w:sz w:val="32"/>
          <w:szCs w:val="32"/>
          <w:lang w:val="en-US" w:eastAsia="zh-CN" w:bidi="ar-SA"/>
        </w:rPr>
        <w:t>县</w:t>
      </w:r>
      <w:r>
        <w:rPr>
          <w:rFonts w:hint="default" w:ascii="Times New Roman" w:hAnsi="Times New Roman" w:eastAsia="仿宋_GB2312" w:cs="Times New Roman"/>
          <w:color w:val="000000" w:themeColor="text1"/>
          <w:kern w:val="2"/>
          <w:sz w:val="32"/>
          <w:szCs w:val="32"/>
          <w:lang w:val="en-US" w:eastAsia="zh-CN" w:bidi="ar-SA"/>
        </w:rPr>
        <w:t>政府有关部门，成为不可缺少的了解经济社会发展的重要工具之一。</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二是发布《统计公报》，出版《统计年鉴》。及时编辑《统计公报》上传</w:t>
      </w:r>
      <w:r>
        <w:rPr>
          <w:rFonts w:hint="eastAsia" w:ascii="Times New Roman" w:hAnsi="Times New Roman" w:eastAsia="仿宋_GB2312" w:cs="Times New Roman"/>
          <w:color w:val="000000" w:themeColor="text1"/>
          <w:kern w:val="2"/>
          <w:sz w:val="32"/>
          <w:szCs w:val="32"/>
          <w:lang w:val="en-US" w:eastAsia="zh-CN" w:bidi="ar-SA"/>
        </w:rPr>
        <w:t>万载</w:t>
      </w:r>
      <w:r>
        <w:rPr>
          <w:rFonts w:hint="default" w:ascii="Times New Roman" w:hAnsi="Times New Roman" w:eastAsia="仿宋_GB2312" w:cs="Times New Roman"/>
          <w:color w:val="000000" w:themeColor="text1"/>
          <w:kern w:val="2"/>
          <w:sz w:val="32"/>
          <w:szCs w:val="32"/>
          <w:lang w:val="en-US" w:eastAsia="zh-CN" w:bidi="ar-SA"/>
        </w:rPr>
        <w:t>县人民政府网及向政府各部门、社会各界进行发布，20</w:t>
      </w:r>
      <w:r>
        <w:rPr>
          <w:rFonts w:hint="eastAsia" w:ascii="Times New Roman" w:hAnsi="Times New Roman" w:eastAsia="仿宋_GB2312" w:cs="Times New Roman"/>
          <w:color w:val="000000" w:themeColor="text1"/>
          <w:kern w:val="2"/>
          <w:sz w:val="32"/>
          <w:szCs w:val="32"/>
          <w:lang w:val="en-US" w:eastAsia="zh-CN" w:bidi="ar-SA"/>
        </w:rPr>
        <w:t>20</w:t>
      </w:r>
      <w:r>
        <w:rPr>
          <w:rFonts w:hint="default" w:ascii="Times New Roman" w:hAnsi="Times New Roman" w:eastAsia="仿宋_GB2312" w:cs="Times New Roman"/>
          <w:color w:val="000000" w:themeColor="text1"/>
          <w:kern w:val="2"/>
          <w:sz w:val="32"/>
          <w:szCs w:val="32"/>
          <w:lang w:val="en-US" w:eastAsia="zh-CN" w:bidi="ar-SA"/>
        </w:rPr>
        <w:t>年《统计公报》已于20</w:t>
      </w:r>
      <w:r>
        <w:rPr>
          <w:rFonts w:hint="eastAsia" w:ascii="Times New Roman" w:hAnsi="Times New Roman" w:eastAsia="仿宋_GB2312" w:cs="Times New Roman"/>
          <w:color w:val="000000" w:themeColor="text1"/>
          <w:kern w:val="2"/>
          <w:sz w:val="32"/>
          <w:szCs w:val="32"/>
          <w:lang w:val="en-US" w:eastAsia="zh-CN" w:bidi="ar-SA"/>
        </w:rPr>
        <w:t>21</w:t>
      </w:r>
      <w:r>
        <w:rPr>
          <w:rFonts w:hint="default" w:ascii="Times New Roman" w:hAnsi="Times New Roman" w:eastAsia="仿宋_GB2312" w:cs="Times New Roman"/>
          <w:color w:val="000000" w:themeColor="text1"/>
          <w:kern w:val="2"/>
          <w:sz w:val="32"/>
          <w:szCs w:val="32"/>
          <w:lang w:val="en-US" w:eastAsia="zh-CN" w:bidi="ar-SA"/>
        </w:rPr>
        <w:t>年</w:t>
      </w:r>
      <w:r>
        <w:rPr>
          <w:rFonts w:hint="eastAsia" w:ascii="Times New Roman" w:hAnsi="Times New Roman" w:eastAsia="仿宋_GB2312" w:cs="Times New Roman"/>
          <w:color w:val="000000" w:themeColor="text1"/>
          <w:kern w:val="2"/>
          <w:sz w:val="32"/>
          <w:szCs w:val="32"/>
          <w:lang w:val="en-US" w:eastAsia="zh-CN" w:bidi="ar-SA"/>
        </w:rPr>
        <w:t>5</w:t>
      </w:r>
      <w:r>
        <w:rPr>
          <w:rFonts w:hint="default" w:ascii="Times New Roman" w:hAnsi="Times New Roman" w:eastAsia="仿宋_GB2312" w:cs="Times New Roman"/>
          <w:color w:val="000000" w:themeColor="text1"/>
          <w:kern w:val="2"/>
          <w:sz w:val="32"/>
          <w:szCs w:val="32"/>
          <w:lang w:val="en-US" w:eastAsia="zh-CN" w:bidi="ar-SA"/>
        </w:rPr>
        <w:t>月编辑发布完成。</w:t>
      </w:r>
      <w:r>
        <w:rPr>
          <w:rFonts w:hint="eastAsia" w:ascii="Times New Roman" w:hAnsi="Times New Roman" w:eastAsia="仿宋_GB2312" w:cs="Times New Roman"/>
          <w:color w:val="000000" w:themeColor="text1"/>
          <w:kern w:val="2"/>
          <w:sz w:val="32"/>
          <w:szCs w:val="32"/>
          <w:lang w:val="en-US" w:eastAsia="zh-CN" w:bidi="ar-SA"/>
        </w:rPr>
        <w:t>万载</w:t>
      </w:r>
      <w:r>
        <w:rPr>
          <w:rFonts w:hint="default" w:ascii="Times New Roman" w:hAnsi="Times New Roman" w:eastAsia="仿宋_GB2312" w:cs="Times New Roman"/>
          <w:color w:val="000000" w:themeColor="text1"/>
          <w:kern w:val="2"/>
          <w:sz w:val="32"/>
          <w:szCs w:val="32"/>
          <w:lang w:val="en-US" w:eastAsia="zh-CN" w:bidi="ar-SA"/>
        </w:rPr>
        <w:t>县20</w:t>
      </w:r>
      <w:r>
        <w:rPr>
          <w:rFonts w:hint="eastAsia" w:ascii="Times New Roman" w:hAnsi="Times New Roman" w:eastAsia="仿宋_GB2312" w:cs="Times New Roman"/>
          <w:color w:val="000000" w:themeColor="text1"/>
          <w:kern w:val="2"/>
          <w:sz w:val="32"/>
          <w:szCs w:val="32"/>
          <w:lang w:val="en-US" w:eastAsia="zh-CN" w:bidi="ar-SA"/>
        </w:rPr>
        <w:t>20</w:t>
      </w:r>
      <w:r>
        <w:rPr>
          <w:rFonts w:hint="default" w:ascii="Times New Roman" w:hAnsi="Times New Roman" w:eastAsia="仿宋_GB2312" w:cs="Times New Roman"/>
          <w:color w:val="000000" w:themeColor="text1"/>
          <w:kern w:val="2"/>
          <w:sz w:val="32"/>
          <w:szCs w:val="32"/>
          <w:lang w:val="en-US" w:eastAsia="zh-CN" w:bidi="ar-SA"/>
        </w:rPr>
        <w:t>年</w:t>
      </w:r>
      <w:r>
        <w:rPr>
          <w:rFonts w:hint="eastAsia" w:ascii="Times New Roman" w:hAnsi="Times New Roman" w:eastAsia="仿宋_GB2312" w:cs="Times New Roman"/>
          <w:color w:val="000000" w:themeColor="text1"/>
          <w:kern w:val="2"/>
          <w:sz w:val="32"/>
          <w:szCs w:val="32"/>
          <w:lang w:val="en-US" w:eastAsia="zh-CN" w:bidi="ar-SA"/>
        </w:rPr>
        <w:t>度</w:t>
      </w:r>
      <w:r>
        <w:rPr>
          <w:rFonts w:hint="default" w:ascii="Times New Roman" w:hAnsi="Times New Roman" w:eastAsia="仿宋_GB2312" w:cs="Times New Roman"/>
          <w:color w:val="000000" w:themeColor="text1"/>
          <w:kern w:val="2"/>
          <w:sz w:val="32"/>
          <w:szCs w:val="32"/>
          <w:lang w:val="en-US" w:eastAsia="zh-CN" w:bidi="ar-SA"/>
        </w:rPr>
        <w:t>统计年鉴已编印完成，并分发各乡镇街道、相关部门。这两项资料收录了我县国民经济和社会发展各领域统计数据，包括综合、人口、工业、农林牧渔业、贸易、固定资产投资、居民生活等，全面、系统、科学、翔实的记载和反映</w:t>
      </w:r>
      <w:r>
        <w:rPr>
          <w:rFonts w:hint="eastAsia" w:ascii="Times New Roman" w:hAnsi="Times New Roman" w:eastAsia="仿宋_GB2312" w:cs="Times New Roman"/>
          <w:color w:val="000000" w:themeColor="text1"/>
          <w:kern w:val="2"/>
          <w:sz w:val="32"/>
          <w:szCs w:val="32"/>
          <w:lang w:val="en-US" w:eastAsia="zh-CN" w:bidi="ar-SA"/>
        </w:rPr>
        <w:t>万载</w:t>
      </w:r>
      <w:r>
        <w:rPr>
          <w:rFonts w:hint="default" w:ascii="Times New Roman" w:hAnsi="Times New Roman" w:eastAsia="仿宋_GB2312" w:cs="Times New Roman"/>
          <w:color w:val="000000" w:themeColor="text1"/>
          <w:kern w:val="2"/>
          <w:sz w:val="32"/>
          <w:szCs w:val="32"/>
          <w:lang w:val="en-US" w:eastAsia="zh-CN" w:bidi="ar-SA"/>
        </w:rPr>
        <w:t>县国民经济和社会发展，是认识和研究</w:t>
      </w:r>
      <w:r>
        <w:rPr>
          <w:rFonts w:hint="eastAsia" w:ascii="Times New Roman" w:hAnsi="Times New Roman" w:eastAsia="仿宋_GB2312" w:cs="Times New Roman"/>
          <w:color w:val="000000" w:themeColor="text1"/>
          <w:kern w:val="2"/>
          <w:sz w:val="32"/>
          <w:szCs w:val="32"/>
          <w:lang w:val="en-US" w:eastAsia="zh-CN" w:bidi="ar-SA"/>
        </w:rPr>
        <w:t>万载</w:t>
      </w:r>
      <w:r>
        <w:rPr>
          <w:rFonts w:hint="default" w:ascii="Times New Roman" w:hAnsi="Times New Roman" w:eastAsia="仿宋_GB2312" w:cs="Times New Roman"/>
          <w:color w:val="000000" w:themeColor="text1"/>
          <w:kern w:val="2"/>
          <w:sz w:val="32"/>
          <w:szCs w:val="32"/>
          <w:lang w:val="en-US" w:eastAsia="zh-CN" w:bidi="ar-SA"/>
        </w:rPr>
        <w:t>县情、制定政策、指导国民经济发展的重要资料和历史性的工具书。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三是完善统计服务，做好统计数据解读。各专业的年、定报进度数据经分管领导审核之后迅速</w:t>
      </w:r>
      <w:r>
        <w:rPr>
          <w:rFonts w:hint="eastAsia" w:ascii="Times New Roman" w:hAnsi="Times New Roman" w:eastAsia="仿宋_GB2312" w:cs="Times New Roman"/>
          <w:color w:val="000000" w:themeColor="text1"/>
          <w:kern w:val="2"/>
          <w:sz w:val="32"/>
          <w:szCs w:val="32"/>
          <w:lang w:val="en-US" w:eastAsia="zh-CN" w:bidi="ar-SA"/>
        </w:rPr>
        <w:t>报</w:t>
      </w:r>
      <w:r>
        <w:rPr>
          <w:rFonts w:hint="default" w:ascii="Times New Roman" w:hAnsi="Times New Roman" w:eastAsia="仿宋_GB2312" w:cs="Times New Roman"/>
          <w:color w:val="000000" w:themeColor="text1"/>
          <w:kern w:val="2"/>
          <w:sz w:val="32"/>
          <w:szCs w:val="32"/>
          <w:lang w:val="en-US" w:eastAsia="zh-CN" w:bidi="ar-SA"/>
        </w:rPr>
        <w:t>送局综合</w:t>
      </w:r>
      <w:r>
        <w:rPr>
          <w:rFonts w:hint="eastAsia" w:ascii="Times New Roman" w:hAnsi="Times New Roman" w:eastAsia="仿宋_GB2312" w:cs="Times New Roman"/>
          <w:color w:val="000000" w:themeColor="text1"/>
          <w:kern w:val="2"/>
          <w:sz w:val="32"/>
          <w:szCs w:val="32"/>
          <w:lang w:val="en-US" w:eastAsia="zh-CN" w:bidi="ar-SA"/>
        </w:rPr>
        <w:t>股</w:t>
      </w:r>
      <w:r>
        <w:rPr>
          <w:rFonts w:hint="default" w:ascii="Times New Roman" w:hAnsi="Times New Roman" w:eastAsia="仿宋_GB2312" w:cs="Times New Roman"/>
          <w:color w:val="000000" w:themeColor="text1"/>
          <w:kern w:val="2"/>
          <w:sz w:val="32"/>
          <w:szCs w:val="32"/>
          <w:lang w:val="en-US" w:eastAsia="zh-CN" w:bidi="ar-SA"/>
        </w:rPr>
        <w:t>，及时为县委、县政府各部门提供月度、季度、年度统计数据信息；每月认真编辑主要经济指标运行情况数据</w:t>
      </w:r>
      <w:r>
        <w:rPr>
          <w:rFonts w:hint="eastAsia" w:ascii="Times New Roman" w:hAnsi="Times New Roman" w:eastAsia="仿宋_GB2312" w:cs="Times New Roman"/>
          <w:color w:val="000000" w:themeColor="text1"/>
          <w:kern w:val="2"/>
          <w:sz w:val="32"/>
          <w:szCs w:val="32"/>
          <w:lang w:val="en-US" w:eastAsia="zh-CN" w:bidi="ar-SA"/>
        </w:rPr>
        <w:t>分析</w:t>
      </w:r>
      <w:r>
        <w:rPr>
          <w:rFonts w:hint="default" w:ascii="Times New Roman" w:hAnsi="Times New Roman" w:eastAsia="仿宋_GB2312" w:cs="Times New Roman"/>
          <w:color w:val="000000" w:themeColor="text1"/>
          <w:kern w:val="2"/>
          <w:sz w:val="32"/>
          <w:szCs w:val="32"/>
          <w:lang w:val="en-US" w:eastAsia="zh-CN" w:bidi="ar-SA"/>
        </w:rPr>
        <w:t>报两办，使县委</w:t>
      </w:r>
      <w:r>
        <w:rPr>
          <w:rFonts w:hint="eastAsia" w:ascii="Times New Roman" w:hAnsi="Times New Roman" w:eastAsia="仿宋_GB2312" w:cs="Times New Roman"/>
          <w:color w:val="000000" w:themeColor="text1"/>
          <w:kern w:val="2"/>
          <w:sz w:val="32"/>
          <w:szCs w:val="32"/>
          <w:lang w:val="en-US" w:eastAsia="zh-CN" w:bidi="ar-SA"/>
        </w:rPr>
        <w:t>县</w:t>
      </w:r>
      <w:r>
        <w:rPr>
          <w:rFonts w:hint="default" w:ascii="Times New Roman" w:hAnsi="Times New Roman" w:eastAsia="仿宋_GB2312" w:cs="Times New Roman"/>
          <w:color w:val="000000" w:themeColor="text1"/>
          <w:kern w:val="2"/>
          <w:sz w:val="32"/>
          <w:szCs w:val="32"/>
          <w:lang w:val="en-US" w:eastAsia="zh-CN" w:bidi="ar-SA"/>
        </w:rPr>
        <w:t>政府和社会各界及时了解我县经济发展取得的成果；围绕全县经济发展目标和市县经济发展考评、绿色发展考评、高质量发展考评及民生实事考核等各项考评工作，撰写大量经济运行监测报告、统计分析、信息、研究报告等解读经济运行形势，为县委</w:t>
      </w:r>
      <w:r>
        <w:rPr>
          <w:rFonts w:hint="eastAsia" w:ascii="Times New Roman" w:hAnsi="Times New Roman" w:eastAsia="仿宋_GB2312" w:cs="Times New Roman"/>
          <w:color w:val="000000" w:themeColor="text1"/>
          <w:kern w:val="2"/>
          <w:sz w:val="32"/>
          <w:szCs w:val="32"/>
          <w:lang w:val="en-US" w:eastAsia="zh-CN" w:bidi="ar-SA"/>
        </w:rPr>
        <w:t>县</w:t>
      </w:r>
      <w:r>
        <w:rPr>
          <w:rFonts w:hint="default" w:ascii="Times New Roman" w:hAnsi="Times New Roman" w:eastAsia="仿宋_GB2312" w:cs="Times New Roman"/>
          <w:color w:val="000000" w:themeColor="text1"/>
          <w:kern w:val="2"/>
          <w:sz w:val="32"/>
          <w:szCs w:val="32"/>
          <w:lang w:val="en-US" w:eastAsia="zh-CN" w:bidi="ar-SA"/>
        </w:rPr>
        <w:t>政府做好统计服务工作。认真为县“两会”、</w:t>
      </w:r>
      <w:r>
        <w:rPr>
          <w:rFonts w:hint="eastAsia" w:ascii="Times New Roman" w:hAnsi="Times New Roman" w:eastAsia="仿宋_GB2312" w:cs="Times New Roman"/>
          <w:color w:val="000000" w:themeColor="text1"/>
          <w:kern w:val="2"/>
          <w:sz w:val="32"/>
          <w:szCs w:val="32"/>
          <w:lang w:val="en-US" w:eastAsia="zh-CN" w:bidi="ar-SA"/>
        </w:rPr>
        <w:t>年度政府工作报告</w:t>
      </w:r>
      <w:r>
        <w:rPr>
          <w:rFonts w:hint="default" w:ascii="Times New Roman" w:hAnsi="Times New Roman" w:eastAsia="仿宋_GB2312" w:cs="Times New Roman"/>
          <w:color w:val="000000" w:themeColor="text1"/>
          <w:kern w:val="2"/>
          <w:sz w:val="32"/>
          <w:szCs w:val="32"/>
          <w:lang w:val="en-US" w:eastAsia="zh-CN" w:bidi="ar-SA"/>
        </w:rPr>
        <w:t>等做好数据提供和信息咨询服务。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四是做好网上公开工作。通过政府网、微信等多种渠道将我局机构职能及岗位设置、联系方式、《统计公报》及开展普查调查、统计知识普查及法制宣传、志愿服务、脱贫攻坚等相关内容进行发布。积极转发国家、省</w:t>
      </w:r>
      <w:r>
        <w:rPr>
          <w:rFonts w:hint="eastAsia" w:ascii="Times New Roman" w:hAnsi="Times New Roman" w:eastAsia="仿宋_GB2312" w:cs="Times New Roman"/>
          <w:color w:val="000000" w:themeColor="text1"/>
          <w:kern w:val="2"/>
          <w:sz w:val="32"/>
          <w:szCs w:val="32"/>
          <w:lang w:val="en-US" w:eastAsia="zh-CN" w:bidi="ar-SA"/>
        </w:rPr>
        <w:t>、市</w:t>
      </w:r>
      <w:r>
        <w:rPr>
          <w:rFonts w:hint="default" w:ascii="Times New Roman" w:hAnsi="Times New Roman" w:eastAsia="仿宋_GB2312" w:cs="Times New Roman"/>
          <w:color w:val="000000" w:themeColor="text1"/>
          <w:kern w:val="2"/>
          <w:sz w:val="32"/>
          <w:szCs w:val="32"/>
          <w:lang w:val="en-US" w:eastAsia="zh-CN" w:bidi="ar-SA"/>
        </w:rPr>
        <w:t>统计工作信息和“中国统计开放日”“</w:t>
      </w:r>
      <w:r>
        <w:rPr>
          <w:rFonts w:hint="eastAsia" w:ascii="Times New Roman" w:hAnsi="Times New Roman" w:eastAsia="仿宋_GB2312" w:cs="Times New Roman"/>
          <w:color w:val="000000" w:themeColor="text1"/>
          <w:kern w:val="2"/>
          <w:sz w:val="32"/>
          <w:szCs w:val="32"/>
          <w:lang w:val="en-US" w:eastAsia="zh-CN" w:bidi="ar-SA"/>
        </w:rPr>
        <w:t>法治</w:t>
      </w:r>
      <w:r>
        <w:rPr>
          <w:rFonts w:hint="default" w:ascii="Times New Roman" w:hAnsi="Times New Roman" w:eastAsia="仿宋_GB2312" w:cs="Times New Roman"/>
          <w:color w:val="000000" w:themeColor="text1"/>
          <w:kern w:val="2"/>
          <w:sz w:val="32"/>
          <w:szCs w:val="32"/>
          <w:lang w:val="en-US" w:eastAsia="zh-CN" w:bidi="ar-SA"/>
        </w:rPr>
        <w:t>宣传月”等活动，方便社会各界群众全方位了解统计工作。认真梳理核对“权力清单”和“责任清单”进行发布，明确统计行政处罚事项和流程，严格规范公正文明执法，检查结果公开公示。完善统计网络舆情监测机制，成立工作领导小组，及时开展舆情监测，力求做到及时发生回应社会关切，正确引导网络舆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5"/>
        <w:jc w:val="both"/>
        <w:textAlignment w:val="auto"/>
        <w:rPr>
          <w:rFonts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截止202</w:t>
      </w:r>
      <w:r>
        <w:rPr>
          <w:rFonts w:hint="eastAsia" w:ascii="Times New Roman" w:hAnsi="Times New Roman" w:eastAsia="仿宋_GB2312" w:cs="Times New Roman"/>
          <w:color w:val="000000" w:themeColor="text1"/>
          <w:kern w:val="2"/>
          <w:sz w:val="32"/>
          <w:szCs w:val="32"/>
          <w:lang w:val="en-US" w:eastAsia="zh-CN" w:bidi="ar-SA"/>
        </w:rPr>
        <w:t>1</w:t>
      </w:r>
      <w:r>
        <w:rPr>
          <w:rFonts w:hint="default" w:ascii="Times New Roman" w:hAnsi="Times New Roman" w:eastAsia="仿宋_GB2312" w:cs="Times New Roman"/>
          <w:color w:val="000000" w:themeColor="text1"/>
          <w:kern w:val="2"/>
          <w:sz w:val="32"/>
          <w:szCs w:val="32"/>
          <w:lang w:val="en-US" w:eastAsia="zh-CN" w:bidi="ar-SA"/>
        </w:rPr>
        <w:t>年年末，主动公开信息</w:t>
      </w:r>
      <w:r>
        <w:rPr>
          <w:rFonts w:hint="eastAsia" w:ascii="Times New Roman" w:hAnsi="Times New Roman" w:eastAsia="仿宋_GB2312" w:cs="Times New Roman"/>
          <w:color w:val="000000" w:themeColor="text1"/>
          <w:kern w:val="2"/>
          <w:sz w:val="32"/>
          <w:szCs w:val="32"/>
          <w:lang w:val="en-US" w:eastAsia="zh-CN" w:bidi="ar-SA"/>
        </w:rPr>
        <w:t>207</w:t>
      </w:r>
      <w:r>
        <w:rPr>
          <w:rFonts w:hint="default" w:ascii="Times New Roman" w:hAnsi="Times New Roman" w:eastAsia="仿宋_GB2312" w:cs="Times New Roman"/>
          <w:color w:val="000000" w:themeColor="text1"/>
          <w:kern w:val="2"/>
          <w:sz w:val="32"/>
          <w:szCs w:val="32"/>
          <w:lang w:val="en-US" w:eastAsia="zh-CN" w:bidi="ar-SA"/>
        </w:rPr>
        <w:t>条。其中通过对万载县政府门户网站政府信息公开栏目下的统计局政府信息公开</w:t>
      </w:r>
      <w:r>
        <w:rPr>
          <w:rFonts w:hint="eastAsia" w:ascii="Times New Roman" w:hAnsi="Times New Roman" w:eastAsia="仿宋_GB2312" w:cs="Times New Roman"/>
          <w:color w:val="000000" w:themeColor="text1"/>
          <w:kern w:val="2"/>
          <w:sz w:val="32"/>
          <w:szCs w:val="32"/>
          <w:lang w:val="en-US" w:eastAsia="zh-CN" w:bidi="ar-SA"/>
        </w:rPr>
        <w:t>112</w:t>
      </w:r>
      <w:r>
        <w:rPr>
          <w:rFonts w:hint="default" w:ascii="Times New Roman" w:hAnsi="Times New Roman" w:eastAsia="仿宋_GB2312" w:cs="Times New Roman"/>
          <w:color w:val="000000" w:themeColor="text1"/>
          <w:kern w:val="2"/>
          <w:sz w:val="32"/>
          <w:szCs w:val="32"/>
          <w:lang w:val="en-US" w:eastAsia="zh-CN" w:bidi="ar-SA"/>
        </w:rPr>
        <w:t>条，通过省统计网页上发布</w:t>
      </w:r>
      <w:r>
        <w:rPr>
          <w:rFonts w:hint="eastAsia" w:ascii="Times New Roman" w:hAnsi="Times New Roman" w:eastAsia="仿宋_GB2312" w:cs="Times New Roman"/>
          <w:color w:val="000000" w:themeColor="text1"/>
          <w:kern w:val="2"/>
          <w:sz w:val="32"/>
          <w:szCs w:val="32"/>
          <w:lang w:val="en-US" w:eastAsia="zh-CN" w:bidi="ar-SA"/>
        </w:rPr>
        <w:t>95</w:t>
      </w:r>
      <w:r>
        <w:rPr>
          <w:rFonts w:hint="default" w:ascii="Times New Roman" w:hAnsi="Times New Roman" w:eastAsia="仿宋_GB2312" w:cs="Times New Roman"/>
          <w:color w:val="000000" w:themeColor="text1"/>
          <w:kern w:val="2"/>
          <w:sz w:val="32"/>
          <w:szCs w:val="32"/>
          <w:lang w:val="en-US" w:eastAsia="zh-CN" w:bidi="ar-SA"/>
        </w:rPr>
        <w:t>条。202</w:t>
      </w:r>
      <w:r>
        <w:rPr>
          <w:rFonts w:hint="eastAsia" w:ascii="Times New Roman" w:hAnsi="Times New Roman" w:eastAsia="仿宋_GB2312" w:cs="Times New Roman"/>
          <w:color w:val="000000" w:themeColor="text1"/>
          <w:kern w:val="2"/>
          <w:sz w:val="32"/>
          <w:szCs w:val="32"/>
          <w:lang w:val="en-US" w:eastAsia="zh-CN" w:bidi="ar-SA"/>
        </w:rPr>
        <w:t>1</w:t>
      </w:r>
      <w:r>
        <w:rPr>
          <w:rFonts w:hint="default" w:ascii="Times New Roman" w:hAnsi="Times New Roman" w:eastAsia="仿宋_GB2312" w:cs="Times New Roman"/>
          <w:color w:val="000000" w:themeColor="text1"/>
          <w:kern w:val="2"/>
          <w:sz w:val="32"/>
          <w:szCs w:val="32"/>
          <w:lang w:val="en-US" w:eastAsia="zh-CN" w:bidi="ar-SA"/>
        </w:rPr>
        <w:t>年，我局收到</w:t>
      </w:r>
      <w:r>
        <w:rPr>
          <w:rFonts w:hint="eastAsia" w:ascii="Times New Roman" w:hAnsi="Times New Roman" w:eastAsia="仿宋_GB2312" w:cs="Times New Roman"/>
          <w:color w:val="000000" w:themeColor="text1"/>
          <w:kern w:val="2"/>
          <w:sz w:val="32"/>
          <w:szCs w:val="32"/>
          <w:lang w:val="en-US" w:eastAsia="zh-CN" w:bidi="ar-SA"/>
        </w:rPr>
        <w:t>两起</w:t>
      </w:r>
      <w:r>
        <w:rPr>
          <w:rFonts w:hint="default" w:ascii="Times New Roman" w:hAnsi="Times New Roman" w:eastAsia="仿宋_GB2312" w:cs="Times New Roman"/>
          <w:color w:val="000000" w:themeColor="text1"/>
          <w:kern w:val="2"/>
          <w:sz w:val="32"/>
          <w:szCs w:val="32"/>
          <w:lang w:val="en-US" w:eastAsia="zh-CN" w:bidi="ar-SA"/>
        </w:rPr>
        <w:t>要求公开政府信息的申请</w:t>
      </w:r>
      <w:r>
        <w:rPr>
          <w:rFonts w:hint="eastAsia" w:ascii="Times New Roman" w:hAnsi="Times New Roman" w:eastAsia="仿宋_GB2312" w:cs="Times New Roman"/>
          <w:color w:val="000000" w:themeColor="text1"/>
          <w:kern w:val="2"/>
          <w:sz w:val="32"/>
          <w:szCs w:val="32"/>
          <w:lang w:val="en-US" w:eastAsia="zh-CN" w:bidi="ar-SA"/>
        </w:rPr>
        <w:t>，全部及时进行回复</w:t>
      </w:r>
      <w:r>
        <w:rPr>
          <w:rFonts w:hint="default" w:ascii="Times New Roman" w:hAnsi="Times New Roman" w:eastAsia="仿宋_GB2312" w:cs="Times New Roman"/>
          <w:color w:val="000000" w:themeColor="text1"/>
          <w:kern w:val="2"/>
          <w:sz w:val="32"/>
          <w:szCs w:val="32"/>
          <w:lang w:val="en-US" w:eastAsia="zh-CN" w:bidi="ar-SA"/>
        </w:rPr>
        <w:t xml:space="preserve">。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600" w:lineRule="exact"/>
        <w:ind w:left="0" w:right="0" w:firstLine="645"/>
        <w:jc w:val="both"/>
        <w:textAlignment w:val="auto"/>
      </w:pPr>
      <w:r>
        <w:rPr>
          <w:rFonts w:hint="eastAsia" w:ascii="黑体" w:hAnsi="黑体" w:eastAsia="黑体" w:cs="黑体"/>
          <w:color w:val="000000" w:themeColor="text1"/>
          <w:kern w:val="2"/>
          <w:sz w:val="32"/>
          <w:szCs w:val="32"/>
          <w:lang w:val="en-US" w:eastAsia="zh-CN" w:bidi="ar-SA"/>
        </w:rPr>
        <w:t>二、主动公开政府信息情况</w:t>
      </w: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6"/>
        <w:keepNext w:val="0"/>
        <w:keepLines w:val="0"/>
        <w:widowControl/>
        <w:suppressLineNumbers w:val="0"/>
        <w:shd w:val="clear" w:fill="FFFFFF"/>
        <w:spacing w:before="46" w:beforeAutospacing="0" w:after="240" w:afterAutospacing="0" w:line="450" w:lineRule="atLeast"/>
        <w:ind w:right="0"/>
        <w:jc w:val="both"/>
        <w:rPr>
          <w:rFonts w:hint="eastAsia" w:ascii="黑体" w:hAnsi="黑体" w:eastAsia="黑体" w:cs="黑体"/>
          <w:color w:val="000000" w:themeColor="text1"/>
          <w:kern w:val="2"/>
          <w:sz w:val="32"/>
          <w:szCs w:val="32"/>
          <w:lang w:val="en-US" w:eastAsia="zh-CN" w:bidi="ar-SA"/>
        </w:rPr>
      </w:pPr>
    </w:p>
    <w:p>
      <w:pPr>
        <w:pStyle w:val="6"/>
        <w:keepNext w:val="0"/>
        <w:keepLines w:val="0"/>
        <w:widowControl/>
        <w:suppressLineNumbers w:val="0"/>
        <w:shd w:val="clear" w:fill="FFFFFF"/>
        <w:spacing w:before="46" w:beforeAutospacing="0" w:after="240" w:afterAutospacing="0" w:line="450" w:lineRule="atLeast"/>
        <w:ind w:left="0" w:right="0" w:firstLine="645"/>
        <w:jc w:val="both"/>
      </w:pPr>
      <w:r>
        <w:rPr>
          <w:rFonts w:hint="eastAsia" w:ascii="黑体" w:hAnsi="黑体" w:eastAsia="黑体" w:cs="黑体"/>
          <w:color w:val="000000" w:themeColor="text1"/>
          <w:kern w:val="2"/>
          <w:sz w:val="32"/>
          <w:szCs w:val="32"/>
          <w:lang w:val="en-US" w:eastAsia="zh-CN" w:bidi="ar-SA"/>
        </w:rPr>
        <w:t>三、收到和处理政府信息公开申请情况</w:t>
      </w:r>
    </w:p>
    <w:tbl>
      <w:tblPr>
        <w:tblStyle w:val="7"/>
        <w:tblW w:w="4948"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20"/>
        <w:gridCol w:w="796"/>
        <w:gridCol w:w="2185"/>
        <w:gridCol w:w="786"/>
        <w:gridCol w:w="732"/>
        <w:gridCol w:w="734"/>
        <w:gridCol w:w="788"/>
        <w:gridCol w:w="949"/>
        <w:gridCol w:w="710"/>
        <w:gridCol w:w="6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003" w:type="pct"/>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（本列数据的勾稽关系为：第一项加第二项之和，等于第三项加第四项之和）</w:t>
            </w:r>
          </w:p>
        </w:tc>
        <w:tc>
          <w:tcPr>
            <w:tcW w:w="2996" w:type="pct"/>
            <w:gridSpan w:val="7"/>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003" w:type="pct"/>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37" w:type="pct"/>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自然人</w:t>
            </w:r>
          </w:p>
        </w:tc>
        <w:tc>
          <w:tcPr>
            <w:tcW w:w="2176" w:type="pct"/>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法人或其他组织</w:t>
            </w:r>
          </w:p>
        </w:tc>
        <w:tc>
          <w:tcPr>
            <w:tcW w:w="382" w:type="pct"/>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003" w:type="pct"/>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37"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商业企业</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科研机构</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社会公益组织</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法律服务机构</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其他</w:t>
            </w:r>
          </w:p>
        </w:tc>
        <w:tc>
          <w:tcPr>
            <w:tcW w:w="38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003" w:type="pct"/>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一、本年新收政府信息公开申请数量</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eastAsiaTheme="minorEastAsia"/>
                <w:lang w:eastAsia="zh-CN"/>
              </w:rPr>
            </w:pPr>
            <w:r>
              <w:rPr>
                <w:rFonts w:hint="eastAsia" w:ascii="微软雅黑" w:hAnsi="微软雅黑" w:eastAsia="微软雅黑" w:cs="微软雅黑"/>
                <w:lang w:val="en-US" w:eastAsia="zh-CN"/>
              </w:rPr>
              <w:t>2</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eastAsiaTheme="minorEastAsia"/>
                <w:lang w:eastAsia="zh-CN"/>
              </w:rPr>
            </w:pPr>
            <w:r>
              <w:rPr>
                <w:rFonts w:hint="eastAsia" w:ascii="微软雅黑" w:hAnsi="微软雅黑" w:eastAsia="微软雅黑" w:cs="微软雅黑"/>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5" w:hRule="atLeast"/>
          <w:tblCellSpacing w:w="0" w:type="dxa"/>
        </w:trPr>
        <w:tc>
          <w:tcPr>
            <w:tcW w:w="2003" w:type="pct"/>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二、上年结转政府信息公开申请数量</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trPr>
        <w:tc>
          <w:tcPr>
            <w:tcW w:w="344" w:type="pct"/>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三、本年度办理结果</w:t>
            </w:r>
          </w:p>
        </w:tc>
        <w:tc>
          <w:tcPr>
            <w:tcW w:w="1658" w:type="pct"/>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ascii="楷体" w:hAnsi="楷体" w:eastAsia="楷体" w:cs="楷体"/>
                <w:sz w:val="19"/>
                <w:szCs w:val="19"/>
              </w:rPr>
              <w:t>（一）予以公开</w:t>
            </w:r>
          </w:p>
        </w:tc>
        <w:tc>
          <w:tcPr>
            <w:tcW w:w="437"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jc w:val="center"/>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2</w:t>
            </w:r>
          </w:p>
        </w:tc>
        <w:tc>
          <w:tcPr>
            <w:tcW w:w="407"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jc w:val="center"/>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eastAsiaTheme="minorEastAsia"/>
                <w:lang w:eastAsia="zh-CN"/>
              </w:rPr>
            </w:pPr>
            <w:r>
              <w:rPr>
                <w:rFonts w:hint="eastAsia" w:ascii="微软雅黑" w:hAnsi="微软雅黑" w:eastAsia="微软雅黑" w:cs="微软雅黑"/>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658" w:type="pct"/>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楷体" w:hAnsi="楷体" w:eastAsia="楷体" w:cs="楷体"/>
                <w:sz w:val="19"/>
                <w:szCs w:val="19"/>
              </w:rPr>
              <w:t>（二）部分公开（区分处理的，只计这一情形，不计其他情形）</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楷体" w:hAnsi="楷体" w:eastAsia="楷体" w:cs="楷体"/>
                <w:sz w:val="19"/>
                <w:szCs w:val="19"/>
              </w:rPr>
              <w:t>（三）不予公开</w:t>
            </w: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1.属于国家秘密</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2.其他法律行政法规禁止公开</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3.危及“三安全一稳定”</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4.保护第三方合法权益</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5.</w:t>
            </w:r>
            <w:r>
              <w:rPr>
                <w:rFonts w:hint="eastAsia" w:ascii="楷体" w:hAnsi="楷体" w:eastAsia="楷体" w:cs="楷体"/>
                <w:spacing w:val="-15"/>
                <w:sz w:val="19"/>
                <w:szCs w:val="19"/>
              </w:rPr>
              <w:t>属于三类内部事务信息</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6.属于四类过程性信息</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7.属于行政执法案卷</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8.属于行政查询事项</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楷体" w:hAnsi="楷体" w:eastAsia="楷体" w:cs="楷体"/>
                <w:sz w:val="19"/>
                <w:szCs w:val="19"/>
              </w:rPr>
              <w:t>（四）无法提供</w:t>
            </w: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1.本机关不掌握相关政府信息</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85"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2.没有现成信息需要另行制作</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05"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3.补正后申请内容仍不明确</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楷体" w:hAnsi="楷体" w:eastAsia="楷体" w:cs="楷体"/>
                <w:sz w:val="19"/>
                <w:szCs w:val="19"/>
              </w:rPr>
              <w:t>（五）不予处理</w:t>
            </w: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1.信访举报投诉类申请</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2.重复申请</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3.要求提供公开出版物</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4.无正当理由大量反复申请</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2" w:type="pct"/>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216"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pPr>
            <w:r>
              <w:rPr>
                <w:rFonts w:hint="eastAsia" w:ascii="楷体" w:hAnsi="楷体" w:eastAsia="楷体" w:cs="楷体"/>
                <w:sz w:val="19"/>
                <w:szCs w:val="19"/>
              </w:rPr>
              <w:t>5.要求行政机关确认或重新出具已获取信息</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6"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3" w:type="pct"/>
            <w:vMerge w:val="restart"/>
            <w:tcBorders>
              <w:top w:val="nil"/>
              <w:left w:val="nil"/>
              <w:right w:val="single" w:color="auto" w:sz="4"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楷体" w:hAnsi="楷体" w:eastAsia="楷体" w:cs="楷体"/>
                <w:sz w:val="19"/>
                <w:szCs w:val="19"/>
              </w:rPr>
              <w:t>（六）其他处理</w:t>
            </w:r>
          </w:p>
        </w:tc>
        <w:tc>
          <w:tcPr>
            <w:tcW w:w="1214" w:type="pct"/>
            <w:tcBorders>
              <w:top w:val="nil"/>
              <w:left w:val="single" w:color="auto" w:sz="4" w:space="0"/>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rPr>
                <w:rFonts w:hint="default" w:ascii="楷体" w:hAnsi="楷体" w:eastAsia="楷体" w:cs="楷体"/>
                <w:sz w:val="19"/>
                <w:szCs w:val="19"/>
                <w:lang w:val="en-US" w:eastAsia="zh-CN"/>
              </w:rPr>
            </w:pPr>
            <w:r>
              <w:rPr>
                <w:rFonts w:hint="eastAsia" w:ascii="楷体" w:hAnsi="楷体" w:eastAsia="楷体" w:cs="楷体"/>
                <w:sz w:val="19"/>
                <w:szCs w:val="19"/>
                <w:lang w:val="en-US" w:eastAsia="zh-CN"/>
              </w:rPr>
              <w:t>1.</w:t>
            </w:r>
            <w:r>
              <w:rPr>
                <w:rFonts w:hint="eastAsia" w:ascii="楷体" w:hAnsi="楷体" w:eastAsia="楷体" w:cs="楷体"/>
                <w:sz w:val="19"/>
                <w:szCs w:val="19"/>
              </w:rPr>
              <w:t>申请人无正当理由逾期不补正、行政机关不再处理其政府信息公开申请</w:t>
            </w:r>
          </w:p>
        </w:tc>
        <w:tc>
          <w:tcPr>
            <w:tcW w:w="437" w:type="pct"/>
            <w:tcBorders>
              <w:top w:val="nil"/>
              <w:left w:val="nil"/>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3" w:type="pct"/>
            <w:vMerge w:val="continue"/>
            <w:tcBorders>
              <w:left w:val="nil"/>
              <w:bottom w:val="single" w:color="auto" w:sz="6" w:space="0"/>
              <w:right w:val="single" w:color="auto" w:sz="4"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ascii="楷体" w:hAnsi="楷体" w:eastAsia="楷体" w:cs="楷体"/>
                <w:sz w:val="19"/>
                <w:szCs w:val="19"/>
              </w:rPr>
            </w:pPr>
          </w:p>
        </w:tc>
        <w:tc>
          <w:tcPr>
            <w:tcW w:w="1214" w:type="pct"/>
            <w:tcBorders>
              <w:top w:val="single" w:color="auto" w:sz="4" w:space="0"/>
              <w:left w:val="single" w:color="auto" w:sz="4" w:space="0"/>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rPr>
                <w:rFonts w:hint="eastAsia" w:ascii="楷体" w:hAnsi="楷体" w:eastAsia="楷体" w:cs="楷体"/>
                <w:sz w:val="19"/>
                <w:szCs w:val="19"/>
              </w:rPr>
            </w:pPr>
            <w:r>
              <w:rPr>
                <w:rFonts w:hint="eastAsia" w:ascii="楷体" w:hAnsi="楷体" w:eastAsia="楷体" w:cs="楷体"/>
                <w:sz w:val="19"/>
                <w:szCs w:val="19"/>
              </w:rPr>
              <w:t>2.申请人逾期未按收费通知要求缴纳费用、行政机关不再处理其政府信息公开申请</w:t>
            </w:r>
          </w:p>
        </w:tc>
        <w:tc>
          <w:tcPr>
            <w:tcW w:w="437"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407"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408"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438"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528"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393"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382" w:type="pct"/>
            <w:tcBorders>
              <w:top w:val="single" w:color="auto" w:sz="4" w:space="0"/>
              <w:left w:val="nil"/>
              <w:bottom w:val="single" w:color="auto" w:sz="4"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5" w:hRule="atLeast"/>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443" w:type="pct"/>
            <w:vMerge w:val="continue"/>
            <w:tcBorders>
              <w:left w:val="nil"/>
              <w:bottom w:val="single" w:color="auto" w:sz="6" w:space="0"/>
              <w:right w:val="single" w:color="auto" w:sz="4"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ascii="楷体" w:hAnsi="楷体" w:eastAsia="楷体" w:cs="楷体"/>
                <w:sz w:val="19"/>
                <w:szCs w:val="19"/>
              </w:rPr>
            </w:pPr>
          </w:p>
        </w:tc>
        <w:tc>
          <w:tcPr>
            <w:tcW w:w="1214" w:type="pct"/>
            <w:tcBorders>
              <w:top w:val="single" w:color="auto" w:sz="4" w:space="0"/>
              <w:left w:val="single" w:color="auto" w:sz="4"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left"/>
              <w:rPr>
                <w:rFonts w:hint="eastAsia" w:ascii="楷体" w:hAnsi="楷体" w:eastAsia="楷体" w:cs="楷体"/>
                <w:sz w:val="19"/>
                <w:szCs w:val="19"/>
              </w:rPr>
            </w:pPr>
            <w:r>
              <w:rPr>
                <w:rFonts w:hint="eastAsia" w:ascii="楷体" w:hAnsi="楷体" w:eastAsia="楷体" w:cs="楷体"/>
                <w:sz w:val="19"/>
                <w:szCs w:val="19"/>
              </w:rPr>
              <w:t>3.其他</w:t>
            </w:r>
          </w:p>
        </w:tc>
        <w:tc>
          <w:tcPr>
            <w:tcW w:w="437" w:type="pct"/>
            <w:tcBorders>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407" w:type="pct"/>
            <w:tcBorders>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408" w:type="pct"/>
            <w:tcBorders>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438" w:type="pct"/>
            <w:tcBorders>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528" w:type="pct"/>
            <w:tcBorders>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393" w:type="pct"/>
            <w:tcBorders>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c>
          <w:tcPr>
            <w:tcW w:w="382" w:type="pct"/>
            <w:tcBorders>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cs="Times New Roman" w:asciiTheme="minorHAnsi" w:hAnsiTheme="minorHAnsi" w:eastAsiaTheme="minorEastAsia"/>
                <w:color w:val="2B2B2B"/>
                <w:kern w:val="0"/>
                <w:sz w:val="24"/>
                <w:szCs w:val="24"/>
                <w:lang w:val="en-US" w:eastAsia="zh-CN" w:bidi="ar-SA"/>
              </w:rPr>
            </w:pPr>
            <w:r>
              <w:rPr>
                <w:rFonts w:hint="eastAsia" w:ascii="微软雅黑" w:hAnsi="微软雅黑" w:eastAsia="微软雅黑" w:cs="微软雅黑"/>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44" w:type="pct"/>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1658" w:type="pct"/>
            <w:gridSpan w:val="2"/>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ascii="楷体" w:hAnsi="楷体" w:eastAsia="楷体" w:cs="楷体"/>
                <w:sz w:val="19"/>
                <w:szCs w:val="19"/>
              </w:rPr>
            </w:pPr>
            <w:r>
              <w:rPr>
                <w:rFonts w:hint="eastAsia" w:ascii="楷体" w:hAnsi="楷体" w:eastAsia="楷体" w:cs="楷体"/>
                <w:sz w:val="19"/>
                <w:szCs w:val="19"/>
              </w:rPr>
              <w:t>（七）总计</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eastAsia" w:eastAsiaTheme="minorEastAsia"/>
                <w:lang w:eastAsia="zh-CN"/>
              </w:rPr>
            </w:pPr>
            <w:r>
              <w:rPr>
                <w:rFonts w:hint="eastAsia" w:ascii="微软雅黑" w:hAnsi="微软雅黑" w:eastAsia="微软雅黑" w:cs="微软雅黑"/>
                <w:lang w:val="en-US" w:eastAsia="zh-CN"/>
              </w:rPr>
              <w:t>2</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rPr>
                <w:rFonts w:hint="default" w:eastAsiaTheme="minorEastAsia"/>
                <w:lang w:val="en-US" w:eastAsia="zh-CN"/>
              </w:rPr>
            </w:pPr>
            <w:r>
              <w:rPr>
                <w:rFonts w:hint="eastAsia"/>
                <w:lang w:val="en-US" w:eastAsia="zh-CN"/>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1" w:hRule="atLeast"/>
          <w:tblCellSpacing w:w="0" w:type="dxa"/>
        </w:trPr>
        <w:tc>
          <w:tcPr>
            <w:tcW w:w="2003" w:type="pct"/>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四、结转下年度继续办理</w:t>
            </w:r>
          </w:p>
        </w:tc>
        <w:tc>
          <w:tcPr>
            <w:tcW w:w="43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7"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0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43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528"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93"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微软雅黑" w:hAnsi="微软雅黑" w:eastAsia="微软雅黑" w:cs="微软雅黑"/>
              </w:rPr>
              <w:t>0</w:t>
            </w:r>
          </w:p>
        </w:tc>
        <w:tc>
          <w:tcPr>
            <w:tcW w:w="382" w:type="pc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rPr>
              <w:t>0</w:t>
            </w:r>
          </w:p>
        </w:tc>
      </w:tr>
    </w:tbl>
    <w:p>
      <w:pPr>
        <w:pStyle w:val="6"/>
        <w:keepNext w:val="0"/>
        <w:keepLines w:val="0"/>
        <w:widowControl/>
        <w:suppressLineNumbers w:val="0"/>
        <w:shd w:val="clear" w:fill="FFFFFF"/>
        <w:spacing w:before="46" w:beforeAutospacing="0" w:after="0" w:afterAutospacing="0" w:line="450" w:lineRule="atLeast"/>
        <w:ind w:left="0" w:right="0" w:firstLine="420"/>
        <w:jc w:val="both"/>
      </w:pPr>
      <w:r>
        <w:rPr>
          <w:rFonts w:hint="eastAsia" w:ascii="微软雅黑" w:hAnsi="微软雅黑" w:eastAsia="微软雅黑" w:cs="微软雅黑"/>
          <w:color w:val="333333"/>
          <w:sz w:val="25"/>
          <w:szCs w:val="25"/>
          <w:shd w:val="clear" w:fill="FFFFFF"/>
        </w:rPr>
        <w:t> </w:t>
      </w:r>
    </w:p>
    <w:p>
      <w:pPr>
        <w:pStyle w:val="6"/>
        <w:keepNext w:val="0"/>
        <w:keepLines w:val="0"/>
        <w:widowControl/>
        <w:suppressLineNumbers w:val="0"/>
        <w:shd w:val="clear" w:fill="FFFFFF"/>
        <w:spacing w:before="46" w:beforeAutospacing="0" w:after="0" w:afterAutospacing="0" w:line="450" w:lineRule="atLeast"/>
        <w:ind w:left="0" w:right="0" w:firstLine="645"/>
        <w:jc w:val="both"/>
      </w:pPr>
      <w:r>
        <w:rPr>
          <w:rFonts w:hint="eastAsia" w:ascii="黑体" w:hAnsi="黑体" w:eastAsia="黑体" w:cs="黑体"/>
          <w:color w:val="000000" w:themeColor="text1"/>
          <w:kern w:val="2"/>
          <w:sz w:val="32"/>
          <w:szCs w:val="32"/>
          <w:lang w:val="en-US" w:eastAsia="zh-CN" w:bidi="ar-SA"/>
        </w:rPr>
        <w:t>四、政府信息公开行政复议、行政诉讼情况</w:t>
      </w:r>
    </w:p>
    <w:tbl>
      <w:tblPr>
        <w:tblStyle w:val="7"/>
        <w:tblW w:w="907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行政复议</w:t>
            </w:r>
          </w:p>
        </w:tc>
        <w:tc>
          <w:tcPr>
            <w:tcW w:w="6000"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top"/>
          </w:tcPr>
          <w:p>
            <w:pPr>
              <w:pStyle w:val="6"/>
              <w:keepNext w:val="0"/>
              <w:keepLines w:val="0"/>
              <w:widowControl/>
              <w:suppressLineNumbers w:val="0"/>
              <w:spacing w:beforeAutospacing="1" w:afterAutospacing="1" w:line="300" w:lineRule="atLeast"/>
              <w:jc w:val="center"/>
            </w:pPr>
            <w:r>
              <w:rPr>
                <w:rFonts w:hint="eastAsia" w:ascii="宋体" w:hAnsi="宋体" w:eastAsia="宋体" w:cs="宋体"/>
                <w:sz w:val="19"/>
                <w:szCs w:val="19"/>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结果维持</w:t>
            </w:r>
          </w:p>
        </w:tc>
        <w:tc>
          <w:tcPr>
            <w:tcW w:w="60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结果纠正</w:t>
            </w:r>
          </w:p>
        </w:tc>
        <w:tc>
          <w:tcPr>
            <w:tcW w:w="60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其他结果</w:t>
            </w:r>
          </w:p>
        </w:tc>
        <w:tc>
          <w:tcPr>
            <w:tcW w:w="60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尚未审结</w:t>
            </w:r>
          </w:p>
        </w:tc>
        <w:tc>
          <w:tcPr>
            <w:tcW w:w="66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总计</w:t>
            </w:r>
          </w:p>
        </w:tc>
        <w:tc>
          <w:tcPr>
            <w:tcW w:w="2970"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未经复议直接起诉</w:t>
            </w:r>
          </w:p>
        </w:tc>
        <w:tc>
          <w:tcPr>
            <w:tcW w:w="3030"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60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60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60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66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sz w:val="24"/>
                <w:szCs w:val="24"/>
              </w:rPr>
            </w:pPr>
          </w:p>
        </w:tc>
        <w:tc>
          <w:tcPr>
            <w:tcW w:w="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结果维持</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结果纠正</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其他结果</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尚未审结</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总计</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结果维持</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结果纠正</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其他结果</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尚未审结</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微软雅黑" w:hAnsi="微软雅黑" w:eastAsia="微软雅黑" w:cs="微软雅黑"/>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微软雅黑" w:hAnsi="微软雅黑" w:eastAsia="微软雅黑" w:cs="微软雅黑"/>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微软雅黑" w:hAnsi="微软雅黑" w:eastAsia="微软雅黑" w:cs="微软雅黑"/>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微软雅黑" w:hAnsi="微软雅黑" w:eastAsia="微软雅黑" w:cs="微软雅黑"/>
                <w:sz w:val="19"/>
                <w:szCs w:val="19"/>
              </w:rPr>
              <w:t>0</w:t>
            </w:r>
          </w:p>
        </w:tc>
        <w:tc>
          <w:tcPr>
            <w:tcW w:w="66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微软雅黑" w:hAnsi="微软雅黑" w:eastAsia="微软雅黑" w:cs="微软雅黑"/>
                <w:sz w:val="19"/>
                <w:szCs w:val="19"/>
              </w:rPr>
              <w:t>0</w:t>
            </w:r>
          </w:p>
        </w:tc>
        <w:tc>
          <w:tcPr>
            <w:tcW w:w="55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jc w:val="center"/>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spacing w:beforeAutospacing="1" w:afterAutospacing="1" w:line="360" w:lineRule="atLeast"/>
              <w:ind w:left="0" w:firstLine="240"/>
            </w:pPr>
            <w:r>
              <w:rPr>
                <w:rFonts w:hint="eastAsia" w:ascii="宋体" w:hAnsi="宋体" w:eastAsia="宋体" w:cs="宋体"/>
                <w:sz w:val="24"/>
                <w:szCs w:val="24"/>
              </w:rPr>
              <w:t>0</w:t>
            </w:r>
          </w:p>
        </w:tc>
      </w:tr>
    </w:tbl>
    <w:p>
      <w:pPr>
        <w:pStyle w:val="6"/>
        <w:keepNext w:val="0"/>
        <w:keepLines w:val="0"/>
        <w:widowControl/>
        <w:suppressLineNumbers w:val="0"/>
        <w:spacing w:before="46" w:beforeAutospacing="0" w:after="0" w:afterAutospacing="0" w:line="450" w:lineRule="atLeast"/>
        <w:ind w:left="0" w:right="0"/>
        <w:jc w:val="both"/>
      </w:pPr>
      <w:r>
        <w:rPr>
          <w:rFonts w:hint="eastAsia" w:ascii="微软雅黑" w:hAnsi="微软雅黑" w:eastAsia="微软雅黑" w:cs="微软雅黑"/>
          <w:sz w:val="25"/>
          <w:szCs w:val="25"/>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6"/>
        <w:jc w:val="both"/>
        <w:textAlignment w:val="auto"/>
        <w:rPr>
          <w:rFonts w:ascii="Times New Roman" w:hAnsi="Times New Roman" w:eastAsia="仿宋_GB2312" w:cs="Times New Roman"/>
          <w:color w:val="000000" w:themeColor="text1"/>
          <w:kern w:val="2"/>
          <w:sz w:val="32"/>
          <w:szCs w:val="32"/>
          <w:lang w:val="en-US" w:eastAsia="zh-CN" w:bidi="ar-SA"/>
        </w:rPr>
      </w:pPr>
      <w:r>
        <w:rPr>
          <w:rFonts w:hint="eastAsia" w:ascii="黑体" w:hAnsi="黑体" w:eastAsia="黑体" w:cs="黑体"/>
          <w:color w:val="000000" w:themeColor="text1"/>
          <w:kern w:val="2"/>
          <w:sz w:val="32"/>
          <w:szCs w:val="32"/>
          <w:lang w:val="en-US" w:eastAsia="zh-CN" w:bidi="ar-SA"/>
        </w:rPr>
        <w:t>五、存在的主要问题及改进情况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6"/>
        <w:jc w:val="both"/>
        <w:textAlignment w:val="auto"/>
        <w:rPr>
          <w:rFonts w:hint="default"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一是</w:t>
      </w:r>
      <w:r>
        <w:rPr>
          <w:rFonts w:hint="default" w:ascii="Times New Roman" w:hAnsi="Times New Roman" w:eastAsia="仿宋_GB2312" w:cs="Times New Roman"/>
          <w:color w:val="000000" w:themeColor="text1"/>
          <w:kern w:val="2"/>
          <w:sz w:val="32"/>
          <w:szCs w:val="32"/>
          <w:lang w:val="en-US" w:eastAsia="zh-CN" w:bidi="ar-SA"/>
        </w:rPr>
        <w:t>工作机制还需进一步完善，信息公开时效性还应进一步增强，信息发布的规范程度需要进一步提高；</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6"/>
        <w:jc w:val="both"/>
        <w:textAlignment w:val="auto"/>
        <w:rPr>
          <w:rFonts w:hint="default"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二是</w:t>
      </w:r>
      <w:r>
        <w:rPr>
          <w:rFonts w:hint="default" w:ascii="Times New Roman" w:hAnsi="Times New Roman" w:eastAsia="仿宋_GB2312" w:cs="Times New Roman"/>
          <w:color w:val="000000" w:themeColor="text1"/>
          <w:kern w:val="2"/>
          <w:sz w:val="32"/>
          <w:szCs w:val="32"/>
          <w:lang w:val="en-US" w:eastAsia="zh-CN" w:bidi="ar-SA"/>
        </w:rPr>
        <w:t>政策解读形式还需要多元化，将政策解读生动、明了，更加贴近群众生活；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6"/>
        <w:jc w:val="both"/>
        <w:textAlignment w:val="auto"/>
        <w:rPr>
          <w:rFonts w:hint="default" w:ascii="Times New Roman" w:hAnsi="Times New Roman" w:eastAsia="仿宋_GB2312" w:cs="Times New Roman"/>
          <w:color w:val="000000" w:themeColor="text1"/>
          <w:kern w:val="2"/>
          <w:sz w:val="32"/>
          <w:szCs w:val="32"/>
          <w:lang w:val="en-US" w:eastAsia="zh-CN" w:bidi="ar-SA"/>
        </w:rPr>
      </w:pPr>
      <w:r>
        <w:rPr>
          <w:rFonts w:hint="eastAsia" w:ascii="Times New Roman" w:hAnsi="Times New Roman" w:eastAsia="仿宋_GB2312" w:cs="Times New Roman"/>
          <w:color w:val="000000" w:themeColor="text1"/>
          <w:kern w:val="2"/>
          <w:sz w:val="32"/>
          <w:szCs w:val="32"/>
          <w:lang w:val="en-US" w:eastAsia="zh-CN" w:bidi="ar-SA"/>
        </w:rPr>
        <w:t>三是</w:t>
      </w:r>
      <w:r>
        <w:rPr>
          <w:rFonts w:hint="default" w:ascii="Times New Roman" w:hAnsi="Times New Roman" w:eastAsia="仿宋_GB2312" w:cs="Times New Roman"/>
          <w:color w:val="000000" w:themeColor="text1"/>
          <w:kern w:val="2"/>
          <w:sz w:val="32"/>
          <w:szCs w:val="32"/>
          <w:lang w:val="en-US" w:eastAsia="zh-CN" w:bidi="ar-SA"/>
        </w:rPr>
        <w:t>社会关切主动回应还要进一步加强，及时解除群众的难点和热点问题。</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6"/>
        <w:jc w:val="both"/>
        <w:textAlignment w:val="auto"/>
        <w:rPr>
          <w:rFonts w:hint="default" w:ascii="Times New Roman" w:hAnsi="Times New Roman" w:eastAsia="仿宋_GB2312" w:cs="Times New Roman"/>
          <w:color w:val="000000" w:themeColor="text1"/>
          <w:kern w:val="2"/>
          <w:sz w:val="32"/>
          <w:szCs w:val="32"/>
          <w:lang w:val="en-US" w:eastAsia="zh-CN" w:bidi="ar-SA"/>
        </w:rPr>
      </w:pPr>
      <w:r>
        <w:rPr>
          <w:rFonts w:hint="default" w:ascii="Times New Roman" w:hAnsi="Times New Roman" w:eastAsia="仿宋_GB2312" w:cs="Times New Roman"/>
          <w:color w:val="000000" w:themeColor="text1"/>
          <w:kern w:val="2"/>
          <w:sz w:val="32"/>
          <w:szCs w:val="32"/>
          <w:lang w:val="en-US" w:eastAsia="zh-CN" w:bidi="ar-SA"/>
        </w:rPr>
        <w:t>下一步，我们将加大政府信息公开工作力度，一是进一步完善工作制度，拓展政府信息公开的内容；二是进一步加强宣传培训，增强工作人员依法做好政府信息公开工作的能力；三是进一步加强工作研究，不断提高政府信息公开的水平，更好地服务广大群众。</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6"/>
        <w:jc w:val="both"/>
        <w:textAlignment w:val="auto"/>
        <w:rPr>
          <w:rFonts w:ascii="Times New Roman" w:hAnsi="Times New Roman" w:eastAsia="仿宋_GB2312" w:cs="Times New Roman"/>
          <w:color w:val="000000" w:themeColor="text1"/>
          <w:kern w:val="2"/>
          <w:sz w:val="32"/>
          <w:szCs w:val="32"/>
          <w:lang w:val="en-US" w:eastAsia="zh-CN" w:bidi="ar-SA"/>
        </w:rPr>
      </w:pPr>
      <w:r>
        <w:rPr>
          <w:rFonts w:hint="eastAsia" w:ascii="黑体" w:hAnsi="黑体" w:eastAsia="黑体" w:cs="黑体"/>
          <w:color w:val="000000" w:themeColor="text1"/>
          <w:kern w:val="2"/>
          <w:sz w:val="32"/>
          <w:szCs w:val="32"/>
          <w:lang w:val="en-US" w:eastAsia="zh-CN" w:bidi="ar-SA"/>
        </w:rPr>
        <w:t>六、其他需要报告的事项</w:t>
      </w:r>
    </w:p>
    <w:p>
      <w:pPr>
        <w:pStyle w:val="6"/>
        <w:keepNext w:val="0"/>
        <w:keepLines w:val="0"/>
        <w:widowControl/>
        <w:suppressLineNumbers w:val="0"/>
        <w:spacing w:before="0" w:beforeAutospacing="0" w:after="105" w:afterAutospacing="0" w:line="23" w:lineRule="atLeast"/>
        <w:ind w:firstLine="640" w:firstLineChars="200"/>
        <w:jc w:val="both"/>
        <w:rPr>
          <w:rFonts w:ascii="微软雅黑" w:hAnsi="微软雅黑" w:eastAsia="微软雅黑" w:cs="微软雅黑"/>
          <w:sz w:val="28"/>
          <w:szCs w:val="28"/>
        </w:rPr>
      </w:pPr>
      <w:r>
        <w:rPr>
          <w:rFonts w:hint="eastAsia" w:ascii="Times New Roman" w:hAnsi="Times New Roman" w:eastAsia="仿宋_GB2312" w:cs="Times New Roman"/>
          <w:color w:val="000000" w:themeColor="text1"/>
          <w:kern w:val="2"/>
          <w:sz w:val="32"/>
          <w:szCs w:val="32"/>
          <w:lang w:val="en-US" w:eastAsia="zh-CN" w:bidi="ar-SA"/>
        </w:rPr>
        <w:t>我局按照《国务院办公厅关于印发〈政府信息公开信息处理费管理办法〉的通知》（国办函〔2020〕109号）规定的按件、按量收费标准，2021</w:t>
      </w:r>
      <w:bookmarkStart w:id="0" w:name="_GoBack"/>
      <w:bookmarkEnd w:id="0"/>
      <w:r>
        <w:rPr>
          <w:rFonts w:hint="eastAsia" w:ascii="Times New Roman" w:hAnsi="Times New Roman" w:eastAsia="仿宋_GB2312" w:cs="Times New Roman"/>
          <w:color w:val="000000" w:themeColor="text1"/>
          <w:kern w:val="2"/>
          <w:sz w:val="32"/>
          <w:szCs w:val="32"/>
          <w:lang w:val="en-US" w:eastAsia="zh-CN" w:bidi="ar-SA"/>
        </w:rPr>
        <w:t>年我单位信息处理费收费情况为零。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600" w:lineRule="exact"/>
        <w:ind w:left="0" w:right="0" w:firstLine="646"/>
        <w:jc w:val="both"/>
        <w:textAlignment w:val="auto"/>
      </w:pPr>
    </w:p>
    <w:p>
      <w:pPr>
        <w:widowControl w:val="0"/>
        <w:pBdr>
          <w:top w:val="none" w:color="auto" w:sz="0" w:space="1"/>
          <w:left w:val="none" w:color="auto" w:sz="0" w:space="4"/>
          <w:bottom w:val="none" w:color="auto" w:sz="0" w:space="1"/>
          <w:right w:val="none" w:color="auto" w:sz="0" w:space="4"/>
          <w:between w:val="none" w:color="auto" w:sz="0" w:space="0"/>
        </w:pBdr>
        <w:spacing w:line="480" w:lineRule="exact"/>
        <w:jc w:val="both"/>
        <w:rPr>
          <w:rFonts w:ascii="仿宋" w:hAnsi="仿宋" w:eastAsia="仿宋" w:cs="仿宋"/>
          <w:sz w:val="32"/>
          <w:szCs w:val="32"/>
        </w:rPr>
      </w:pPr>
    </w:p>
    <w:sectPr>
      <w:pgSz w:w="11906" w:h="16838"/>
      <w:pgMar w:top="1928" w:right="1531" w:bottom="1814"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UyNzRhMzcyNjBlMzUyNzE5YTQwNTkwZmIzYjY3NzEifQ=="/>
  </w:docVars>
  <w:rsids>
    <w:rsidRoot w:val="001F7B38"/>
    <w:rsid w:val="00132F71"/>
    <w:rsid w:val="001444EE"/>
    <w:rsid w:val="001F7B38"/>
    <w:rsid w:val="002D1F0B"/>
    <w:rsid w:val="00377938"/>
    <w:rsid w:val="003C2FE8"/>
    <w:rsid w:val="00405B23"/>
    <w:rsid w:val="004176B8"/>
    <w:rsid w:val="004557E9"/>
    <w:rsid w:val="0049236C"/>
    <w:rsid w:val="004C191F"/>
    <w:rsid w:val="004C71D2"/>
    <w:rsid w:val="005D6044"/>
    <w:rsid w:val="00660643"/>
    <w:rsid w:val="0070324A"/>
    <w:rsid w:val="008F609A"/>
    <w:rsid w:val="009720FF"/>
    <w:rsid w:val="00A55B04"/>
    <w:rsid w:val="00B068ED"/>
    <w:rsid w:val="00C94946"/>
    <w:rsid w:val="00CC7A6B"/>
    <w:rsid w:val="00EA4776"/>
    <w:rsid w:val="00F42159"/>
    <w:rsid w:val="00FB610C"/>
    <w:rsid w:val="035D4C96"/>
    <w:rsid w:val="039522D4"/>
    <w:rsid w:val="04A52E72"/>
    <w:rsid w:val="06804556"/>
    <w:rsid w:val="06E149B5"/>
    <w:rsid w:val="093F1033"/>
    <w:rsid w:val="0AF70A1C"/>
    <w:rsid w:val="0B145759"/>
    <w:rsid w:val="0D154BA6"/>
    <w:rsid w:val="0DE0645B"/>
    <w:rsid w:val="1052687E"/>
    <w:rsid w:val="142930A2"/>
    <w:rsid w:val="14DE5F97"/>
    <w:rsid w:val="1743007E"/>
    <w:rsid w:val="19D452FE"/>
    <w:rsid w:val="1AA96877"/>
    <w:rsid w:val="1FDD3441"/>
    <w:rsid w:val="21CE2186"/>
    <w:rsid w:val="232F5217"/>
    <w:rsid w:val="234005CF"/>
    <w:rsid w:val="24610EDB"/>
    <w:rsid w:val="250D35AE"/>
    <w:rsid w:val="25120EF6"/>
    <w:rsid w:val="25CB4197"/>
    <w:rsid w:val="298A099E"/>
    <w:rsid w:val="2CB47CC9"/>
    <w:rsid w:val="2D0B5BF3"/>
    <w:rsid w:val="2DF413AF"/>
    <w:rsid w:val="2E6327EF"/>
    <w:rsid w:val="30641784"/>
    <w:rsid w:val="31386CE8"/>
    <w:rsid w:val="32647465"/>
    <w:rsid w:val="337075BA"/>
    <w:rsid w:val="3A1E1398"/>
    <w:rsid w:val="3A415E94"/>
    <w:rsid w:val="3C2E6E7C"/>
    <w:rsid w:val="43340000"/>
    <w:rsid w:val="44F848E6"/>
    <w:rsid w:val="451770A9"/>
    <w:rsid w:val="46EE65DB"/>
    <w:rsid w:val="49FE466F"/>
    <w:rsid w:val="4A07780C"/>
    <w:rsid w:val="4B6F0CAB"/>
    <w:rsid w:val="4BC80334"/>
    <w:rsid w:val="4BF973DC"/>
    <w:rsid w:val="4C8A2DFE"/>
    <w:rsid w:val="4CB47B0B"/>
    <w:rsid w:val="4F384E79"/>
    <w:rsid w:val="513227C9"/>
    <w:rsid w:val="5260619E"/>
    <w:rsid w:val="575F3A0E"/>
    <w:rsid w:val="58794A93"/>
    <w:rsid w:val="591F7587"/>
    <w:rsid w:val="59637292"/>
    <w:rsid w:val="5E833D4A"/>
    <w:rsid w:val="61520AF0"/>
    <w:rsid w:val="61E24380"/>
    <w:rsid w:val="64480C90"/>
    <w:rsid w:val="65983F3A"/>
    <w:rsid w:val="65E77556"/>
    <w:rsid w:val="65FC5AC1"/>
    <w:rsid w:val="678A3127"/>
    <w:rsid w:val="67A9107D"/>
    <w:rsid w:val="68824D0B"/>
    <w:rsid w:val="693A5E0C"/>
    <w:rsid w:val="6CCC6946"/>
    <w:rsid w:val="6D6165F9"/>
    <w:rsid w:val="6DB600DB"/>
    <w:rsid w:val="6F1B114A"/>
    <w:rsid w:val="7332045C"/>
    <w:rsid w:val="75A93E0A"/>
    <w:rsid w:val="75E21A8D"/>
    <w:rsid w:val="76ED612A"/>
    <w:rsid w:val="770E2C2F"/>
    <w:rsid w:val="783F26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b/>
      <w:kern w:val="0"/>
      <w:szCs w:val="21"/>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2"/>
    <w:qFormat/>
    <w:uiPriority w:val="0"/>
    <w:pPr>
      <w:ind w:left="100" w:leftChars="2500"/>
    </w:pPr>
  </w:style>
  <w:style w:type="paragraph" w:styleId="4">
    <w:name w:val="footer"/>
    <w:basedOn w:val="1"/>
    <w:link w:val="21"/>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cs="Times New Roman"/>
      <w:color w:val="2B2B2B"/>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2B2B2B"/>
      <w:u w:val="none"/>
    </w:rPr>
  </w:style>
  <w:style w:type="character" w:styleId="12">
    <w:name w:val="Emphasis"/>
    <w:basedOn w:val="9"/>
    <w:qFormat/>
    <w:uiPriority w:val="0"/>
  </w:style>
  <w:style w:type="character" w:styleId="13">
    <w:name w:val="HTML Acronym"/>
    <w:basedOn w:val="9"/>
    <w:qFormat/>
    <w:uiPriority w:val="0"/>
  </w:style>
  <w:style w:type="character" w:styleId="14">
    <w:name w:val="Hyperlink"/>
    <w:basedOn w:val="9"/>
    <w:qFormat/>
    <w:uiPriority w:val="0"/>
    <w:rPr>
      <w:color w:val="2B2B2B"/>
      <w:u w:val="none"/>
    </w:rPr>
  </w:style>
  <w:style w:type="character" w:styleId="15">
    <w:name w:val="HTML Cite"/>
    <w:basedOn w:val="9"/>
    <w:qFormat/>
    <w:uiPriority w:val="0"/>
  </w:style>
  <w:style w:type="character" w:customStyle="1" w:styleId="16">
    <w:name w:val="bds_nopic"/>
    <w:basedOn w:val="9"/>
    <w:qFormat/>
    <w:uiPriority w:val="0"/>
  </w:style>
  <w:style w:type="character" w:customStyle="1" w:styleId="17">
    <w:name w:val="bds_more"/>
    <w:basedOn w:val="9"/>
    <w:qFormat/>
    <w:uiPriority w:val="0"/>
  </w:style>
  <w:style w:type="character" w:customStyle="1" w:styleId="18">
    <w:name w:val="bds_more1"/>
    <w:basedOn w:val="9"/>
    <w:qFormat/>
    <w:uiPriority w:val="0"/>
    <w:rPr>
      <w:rFonts w:ascii="宋体 ! important" w:hAnsi="宋体 ! important" w:eastAsia="宋体 ! important" w:cs="宋体 ! important"/>
      <w:color w:val="454545"/>
      <w:sz w:val="18"/>
      <w:szCs w:val="18"/>
    </w:rPr>
  </w:style>
  <w:style w:type="character" w:customStyle="1" w:styleId="19">
    <w:name w:val="bds_more2"/>
    <w:basedOn w:val="9"/>
    <w:qFormat/>
    <w:uiPriority w:val="0"/>
    <w:rPr>
      <w:rFonts w:hint="eastAsia" w:ascii="宋体" w:hAnsi="宋体" w:eastAsia="宋体" w:cs="宋体"/>
    </w:rPr>
  </w:style>
  <w:style w:type="character" w:customStyle="1" w:styleId="20">
    <w:name w:val="页眉 Char"/>
    <w:basedOn w:val="9"/>
    <w:link w:val="5"/>
    <w:qFormat/>
    <w:uiPriority w:val="0"/>
    <w:rPr>
      <w:rFonts w:asciiTheme="minorHAnsi" w:hAnsiTheme="minorHAnsi" w:eastAsiaTheme="minorEastAsia" w:cstheme="minorBidi"/>
      <w:kern w:val="2"/>
      <w:sz w:val="18"/>
      <w:szCs w:val="18"/>
    </w:rPr>
  </w:style>
  <w:style w:type="character" w:customStyle="1" w:styleId="21">
    <w:name w:val="页脚 Char"/>
    <w:basedOn w:val="9"/>
    <w:link w:val="4"/>
    <w:qFormat/>
    <w:uiPriority w:val="0"/>
    <w:rPr>
      <w:rFonts w:asciiTheme="minorHAnsi" w:hAnsiTheme="minorHAnsi" w:eastAsiaTheme="minorEastAsia" w:cstheme="minorBidi"/>
      <w:kern w:val="2"/>
      <w:sz w:val="18"/>
      <w:szCs w:val="18"/>
    </w:rPr>
  </w:style>
  <w:style w:type="character" w:customStyle="1" w:styleId="22">
    <w:name w:val="日期 Char"/>
    <w:basedOn w:val="9"/>
    <w:link w:val="3"/>
    <w:qFormat/>
    <w:uiPriority w:val="0"/>
    <w:rPr>
      <w:rFonts w:asciiTheme="minorHAnsi" w:hAnsiTheme="minorHAnsi" w:eastAsiaTheme="minorEastAsia" w:cstheme="minorBidi"/>
      <w:kern w:val="2"/>
      <w:sz w:val="21"/>
      <w:szCs w:val="24"/>
    </w:rPr>
  </w:style>
  <w:style w:type="character" w:customStyle="1" w:styleId="23">
    <w:name w:val="icon02"/>
    <w:basedOn w:val="9"/>
    <w:qFormat/>
    <w:uiPriority w:val="0"/>
    <w:rPr>
      <w:color w:val="777777"/>
    </w:rPr>
  </w:style>
  <w:style w:type="character" w:customStyle="1" w:styleId="24">
    <w:name w:val="icon021"/>
    <w:basedOn w:val="9"/>
    <w:qFormat/>
    <w:uiPriority w:val="0"/>
  </w:style>
  <w:style w:type="character" w:customStyle="1" w:styleId="25">
    <w:name w:val="icon06"/>
    <w:basedOn w:val="9"/>
    <w:qFormat/>
    <w:uiPriority w:val="0"/>
  </w:style>
  <w:style w:type="character" w:customStyle="1" w:styleId="26">
    <w:name w:val="icon01"/>
    <w:basedOn w:val="9"/>
    <w:qFormat/>
    <w:uiPriority w:val="0"/>
    <w:rPr>
      <w:color w:val="777777"/>
      <w:sz w:val="27"/>
      <w:szCs w:val="27"/>
    </w:rPr>
  </w:style>
  <w:style w:type="character" w:customStyle="1" w:styleId="27">
    <w:name w:val="icon011"/>
    <w:basedOn w:val="9"/>
    <w:qFormat/>
    <w:uiPriority w:val="0"/>
  </w:style>
  <w:style w:type="character" w:customStyle="1" w:styleId="28">
    <w:name w:val="icon04"/>
    <w:basedOn w:val="9"/>
    <w:qFormat/>
    <w:uiPriority w:val="0"/>
  </w:style>
  <w:style w:type="character" w:customStyle="1" w:styleId="29">
    <w:name w:val="icon05"/>
    <w:basedOn w:val="9"/>
    <w:qFormat/>
    <w:uiPriority w:val="0"/>
  </w:style>
  <w:style w:type="character" w:customStyle="1" w:styleId="30">
    <w:name w:val="act"/>
    <w:basedOn w:val="9"/>
    <w:qFormat/>
    <w:uiPriority w:val="0"/>
    <w:rPr>
      <w:color w:val="FFFFFF"/>
      <w:shd w:val="clear" w:fill="C31606"/>
    </w:rPr>
  </w:style>
  <w:style w:type="character" w:customStyle="1" w:styleId="31">
    <w:name w:val="hover8"/>
    <w:basedOn w:val="9"/>
    <w:qFormat/>
    <w:uiPriority w:val="0"/>
    <w:rPr>
      <w:color w:val="FFFFFF"/>
      <w:shd w:val="clear" w:fill="C31606"/>
    </w:rPr>
  </w:style>
  <w:style w:type="character" w:customStyle="1" w:styleId="32">
    <w:name w:val="icon03"/>
    <w:basedOn w:val="9"/>
    <w:qFormat/>
    <w:uiPriority w:val="0"/>
  </w:style>
  <w:style w:type="character" w:customStyle="1" w:styleId="33">
    <w:name w:val="icon07"/>
    <w:basedOn w:val="9"/>
    <w:qFormat/>
    <w:uiPriority w:val="0"/>
  </w:style>
  <w:style w:type="character" w:customStyle="1" w:styleId="34">
    <w:name w:val="icon08"/>
    <w:basedOn w:val="9"/>
    <w:qFormat/>
    <w:uiPriority w:val="0"/>
  </w:style>
  <w:style w:type="character" w:customStyle="1" w:styleId="35">
    <w:name w:val="hover"/>
    <w:basedOn w:val="9"/>
    <w:qFormat/>
    <w:uiPriority w:val="0"/>
    <w:rPr>
      <w:color w:val="FFFFFF"/>
      <w:shd w:val="clear" w:fill="C3160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140</Words>
  <Characters>798</Characters>
  <Lines>6</Lines>
  <Paragraphs>1</Paragraphs>
  <TotalTime>2</TotalTime>
  <ScaleCrop>false</ScaleCrop>
  <LinksUpToDate>false</LinksUpToDate>
  <CharactersWithSpaces>937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2019-01-07T12:09:00Z</cp:lastPrinted>
  <dcterms:modified xsi:type="dcterms:W3CDTF">2023-01-17T07:08:20Z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62400F31D1DF4BE48D0E0F565A2924E6</vt:lpwstr>
  </property>
</Properties>
</file>