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万载县医疗保障局2022年政府信息公开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eastAsia="仿宋_GB2312" w:cs="Times New Roman"/>
          <w:sz w:val="32"/>
          <w:szCs w:val="24"/>
          <w:u w:val="none"/>
          <w:lang w:val="en-US" w:eastAsia="zh-CN"/>
        </w:rPr>
      </w:pPr>
      <w:r>
        <w:rPr>
          <w:rFonts w:hint="eastAsia" w:ascii="方正小标宋简体" w:hAnsi="方正小标宋简体" w:eastAsia="方正小标宋简体" w:cs="方正小标宋简体"/>
          <w:sz w:val="44"/>
          <w:szCs w:val="44"/>
          <w:lang w:val="en-US" w:eastAsia="zh-CN"/>
        </w:rPr>
        <w:t>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黑体" w:hAnsi="黑体" w:eastAsia="黑体" w:cs="黑体"/>
          <w:b w:val="0"/>
          <w:bCs w:val="0"/>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政府信息公开工作年度报告（以下简称年度报告），是《中华人民共和国政府信息公开条例》确立的法定制度安排，是全面反映政府信息公开工作情况、加强政府信息管理、展现政府施政过程及结果的重要方式，对于加强政府自身建设、推进国家治理体系和治理能力现代化具有重要意义。依据《中华人民共和国政府信息公开条例》第五十条的要求，结合工作实际和县医保局结合有关统计数据编制，本年度报告中所列数据的统计期限自2022年1月1日起至2022年12月31日止。本年度报告的电子版可以从万载县人民政府网站（医疗保障局）下载。如对本报告有任何疑问，请与县医保局办公室联系（地址：万载县迎宾大道人社大楼408室，电话：0795-8823370，邮编：336100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黑体" w:hAnsi="黑体" w:eastAsia="黑体" w:cs="黑体"/>
          <w:b w:val="0"/>
          <w:bCs w:val="0"/>
          <w:i w:val="0"/>
          <w:iCs w:val="0"/>
          <w:caps w:val="0"/>
          <w:color w:val="333333"/>
          <w:spacing w:val="0"/>
          <w:sz w:val="32"/>
          <w:szCs w:val="32"/>
          <w:shd w:val="clear" w:color="auto"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2022年，万载县医保局坚持以人民为中心的发展理念，聚焦市场主体和社会公众关切，深化政务公开标准化规范化，全面提升工作能级。全面落实新修订的《条例》，严格对标万载县政务公开工作要点明确的目标任务，细化节点与责任，围绕落实新修订的政府信息公开条例加强制度执行，围绕“六稳”、“六保”加强政策发布解读，优化营商环境，坚持以“公开为常态、不公开为例外”，积极发挥新时代政务公开在推进国家治理体系和治理能力现代化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iCs w:val="0"/>
          <w:caps w:val="0"/>
          <w:color w:val="333333"/>
          <w:spacing w:val="0"/>
          <w:sz w:val="32"/>
          <w:szCs w:val="32"/>
          <w:shd w:val="clear" w:color="auto" w:fill="FFFFFF"/>
          <w:lang w:val="en-US" w:eastAsia="zh-CN"/>
        </w:rPr>
        <w:t>（一）主动公开情况。</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我局政务公开共分公开指南、工作动态、概况信息、医保领域公开、财经信息、建议提案办理等栏目，今年，我局主动公开信息51条。其中我局发布的《江西省“双通道”药品图文解读》被万载县人民政府评为优秀政策解读案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iCs w:val="0"/>
          <w:caps w:val="0"/>
          <w:color w:val="333333"/>
          <w:spacing w:val="0"/>
          <w:sz w:val="32"/>
          <w:szCs w:val="32"/>
          <w:shd w:val="clear" w:color="auto" w:fill="FFFFFF"/>
          <w:lang w:val="en-US" w:eastAsia="zh-CN"/>
        </w:rPr>
        <w:t>（二）依申请公开。</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对个人和其他组织需要我局提供主动公开信息以外的政府信息，依程序公开，并在政务公开网提供公开指南。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iCs w:val="0"/>
          <w:caps w:val="0"/>
          <w:color w:val="333333"/>
          <w:spacing w:val="0"/>
          <w:sz w:val="32"/>
          <w:szCs w:val="32"/>
          <w:shd w:val="clear" w:color="auto" w:fill="FFFFFF"/>
          <w:lang w:val="en-US" w:eastAsia="zh-CN"/>
        </w:rPr>
        <w:t>（三）政府信息管理。</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政府信息公开派专人管理，落实具体工作人员，在信息公开发布前认真审核、及时更新，确保信息发布内容的准确性。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iCs w:val="0"/>
          <w:caps w:val="0"/>
          <w:color w:val="333333"/>
          <w:spacing w:val="0"/>
          <w:sz w:val="32"/>
          <w:szCs w:val="32"/>
          <w:shd w:val="clear" w:color="auto" w:fill="FFFFFF"/>
          <w:lang w:val="en-US" w:eastAsia="zh-CN"/>
        </w:rPr>
        <w:t>（四）平台建设。</w:t>
      </w:r>
      <w:r>
        <w:rPr>
          <w:rFonts w:hint="eastAsia" w:ascii="仿宋_GB2312" w:hAnsi="仿宋_GB2312" w:eastAsia="仿宋_GB2312" w:cs="仿宋_GB2312"/>
          <w:i w:val="0"/>
          <w:iCs w:val="0"/>
          <w:caps w:val="0"/>
          <w:color w:val="333333"/>
          <w:spacing w:val="0"/>
          <w:sz w:val="32"/>
          <w:szCs w:val="32"/>
          <w:shd w:val="clear" w:color="auto" w:fill="FFFFFF"/>
          <w:lang w:val="en-US" w:eastAsia="zh-CN"/>
        </w:rPr>
        <w:t>健全完善工作机制，落实主体责任，完善平台建设。按照工作要求，完善相关政府信息公开目录，及时更新、及时发布。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iCs w:val="0"/>
          <w:caps w:val="0"/>
          <w:color w:val="333333"/>
          <w:spacing w:val="0"/>
          <w:sz w:val="32"/>
          <w:szCs w:val="32"/>
          <w:shd w:val="clear" w:color="auto" w:fill="FFFFFF"/>
          <w:lang w:val="en-US" w:eastAsia="zh-CN"/>
        </w:rPr>
        <w:t>（五）监督保障工作情况。</w:t>
      </w:r>
      <w:r>
        <w:rPr>
          <w:rFonts w:hint="eastAsia" w:ascii="仿宋_GB2312" w:hAnsi="仿宋_GB2312" w:eastAsia="仿宋_GB2312" w:cs="仿宋_GB2312"/>
          <w:i w:val="0"/>
          <w:iCs w:val="0"/>
          <w:caps w:val="0"/>
          <w:color w:val="333333"/>
          <w:spacing w:val="0"/>
          <w:sz w:val="32"/>
          <w:szCs w:val="32"/>
          <w:shd w:val="clear" w:color="auto" w:fill="FFFFFF"/>
          <w:lang w:val="en-US" w:eastAsia="zh-CN"/>
        </w:rPr>
        <w:t>一是领导重视，加强培训。主动学习相关条例规定，并积极参加县政府组织召开的政务公开业务培训暨工作推进会。二是分解任务，具体到人。为确保工作落实，逐项将各个栏目分解到相关股室，确保信息发布及时、准确。三是强化考核，狠抓落实。将政务公开工作与各项工作有机结合，齐抓共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黑体" w:hAnsi="黑体" w:eastAsia="黑体" w:cs="黑体"/>
          <w:b w:val="0"/>
          <w:bCs w:val="0"/>
          <w:i w:val="0"/>
          <w:iCs w:val="0"/>
          <w:caps w:val="0"/>
          <w:color w:val="333333"/>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358"/>
        <w:gridCol w:w="2512"/>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512"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51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82"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82"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82"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82"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82"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82"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358"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82"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r>
    </w:tbl>
    <w:p>
      <w:pPr>
        <w:keepNext w:val="0"/>
        <w:keepLines w:val="0"/>
        <w:widowControl/>
        <w:suppressLineNumbers w:val="0"/>
        <w:jc w:val="left"/>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2022年，在上级部门的正确指导下，我局在政务公开工作方面取得了一定的成效，但仍然存在一些不足和差距。一是依法公开、主动公开意识有待进一步加强。二是政府信息公开内容还需进一步规范。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改进情况如下：</w:t>
      </w:r>
      <w:r>
        <w:rPr>
          <w:rFonts w:hint="default" w:ascii="仿宋_GB2312" w:hAnsi="仿宋_GB2312" w:eastAsia="仿宋_GB2312" w:cs="仿宋_GB2312"/>
          <w:i w:val="0"/>
          <w:iCs w:val="0"/>
          <w:caps w:val="0"/>
          <w:color w:val="333333"/>
          <w:spacing w:val="0"/>
          <w:sz w:val="32"/>
          <w:szCs w:val="32"/>
          <w:shd w:val="clear" w:color="auto" w:fill="FFFFFF"/>
          <w:lang w:val="en-US" w:eastAsia="zh-CN"/>
        </w:rPr>
        <w:t>1.进一步提高对政务公开工作重要性的认识，把政务公开工作列为年度工作重点任务，进一步明确工作机构的职责和任务，明确专人负责政府信息公开的组织协调、维护更新等工作，确保信息公开工作扎实、有序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default" w:ascii="仿宋_GB2312" w:hAnsi="仿宋_GB2312" w:eastAsia="仿宋_GB2312" w:cs="仿宋_GB2312"/>
          <w:i w:val="0"/>
          <w:iCs w:val="0"/>
          <w:caps w:val="0"/>
          <w:color w:val="333333"/>
          <w:spacing w:val="0"/>
          <w:sz w:val="32"/>
          <w:szCs w:val="32"/>
          <w:shd w:val="clear" w:color="auto" w:fill="FFFFFF"/>
          <w:lang w:val="en-US" w:eastAsia="zh-CN"/>
        </w:rPr>
        <w:t>2.加大宣传力度，塑造良好的政府信息公开工作氛围。广泛开展系列政府信息公开工作宣传活动，倡导积极、全面、合法、透明的政府信息，为公众提供及时、准确、实用的信息。以政府中心工作为主轴，以公众关心的热点、难点问题为导向，全面、及时地公开政府信息，确保政府信息公开工作的针对性和实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lang w:eastAsia="zh-CN"/>
        </w:rPr>
      </w:pPr>
      <w:r>
        <w:rPr>
          <w:rFonts w:hint="eastAsia" w:ascii="黑体" w:hAnsi="黑体" w:eastAsia="黑体" w:cs="黑体"/>
          <w:b w:val="0"/>
          <w:bCs w:val="0"/>
          <w:i w:val="0"/>
          <w:iCs w:val="0"/>
          <w:caps w:val="0"/>
          <w:color w:val="333333"/>
          <w:spacing w:val="0"/>
          <w:sz w:val="32"/>
          <w:szCs w:val="32"/>
          <w:shd w:val="clear" w:color="auto" w:fill="FFFFFF"/>
        </w:rPr>
        <w:t>六、</w:t>
      </w:r>
      <w:r>
        <w:rPr>
          <w:rFonts w:hint="eastAsia" w:ascii="黑体" w:hAnsi="黑体" w:eastAsia="黑体" w:cs="黑体"/>
          <w:b w:val="0"/>
          <w:bCs w:val="0"/>
          <w:i w:val="0"/>
          <w:iCs w:val="0"/>
          <w:caps w:val="0"/>
          <w:color w:val="333333"/>
          <w:spacing w:val="0"/>
          <w:sz w:val="32"/>
          <w:szCs w:val="32"/>
          <w:shd w:val="clear" w:color="auto" w:fill="FFFFFF"/>
          <w:lang w:eastAsia="zh-CN"/>
        </w:rPr>
        <w:t>信息公开收费项目说明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default"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hAnsi="仿宋_GB2312" w:eastAsia="仿宋_GB2312" w:cs="仿宋_GB2312"/>
          <w:i w:val="0"/>
          <w:iCs w:val="0"/>
          <w:caps w:val="0"/>
          <w:color w:val="333333"/>
          <w:spacing w:val="0"/>
          <w:sz w:val="32"/>
          <w:szCs w:val="32"/>
          <w:shd w:val="clear" w:color="auto" w:fill="FFFFFF"/>
          <w:lang w:val="en-US" w:eastAsia="zh-CN"/>
        </w:rPr>
        <w:t>我局严格按照国务院办公厅《政府信息公开信息处理费管理办法》（国办函【2020】109号）执行，信息处理费按照超额累进方式计算收费金额，采取按件计收或按量计收方式，2022年我局信息处理收费情况为零。</w:t>
      </w:r>
    </w:p>
    <w:p>
      <w:pPr>
        <w:keepNext w:val="0"/>
        <w:keepLines w:val="0"/>
        <w:pageBreakBefore w:val="0"/>
        <w:widowControl w:val="0"/>
        <w:kinsoku/>
        <w:wordWrap/>
        <w:overflowPunct/>
        <w:topLinePunct w:val="0"/>
        <w:autoSpaceDE/>
        <w:autoSpaceDN/>
        <w:bidi w:val="0"/>
        <w:adjustRightInd/>
        <w:snapToGrid/>
        <w:spacing w:line="584" w:lineRule="exact"/>
        <w:ind w:firstLine="640" w:firstLineChars="200"/>
        <w:jc w:val="left"/>
        <w:textAlignment w:val="auto"/>
        <w:rPr>
          <w:rFonts w:hint="default" w:ascii="仿宋_GB2312" w:eastAsia="仿宋_GB2312" w:cs="Times New Roman"/>
          <w:sz w:val="32"/>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jc w:val="center"/>
        <w:textAlignment w:val="auto"/>
        <w:rPr>
          <w:rFonts w:hint="eastAsia" w:ascii="仿宋_GB2312" w:eastAsia="仿宋_GB2312" w:cs="Times New Roman"/>
          <w:sz w:val="32"/>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84" w:lineRule="exact"/>
        <w:jc w:val="left"/>
        <w:textAlignment w:val="auto"/>
        <w:rPr>
          <w:rFonts w:hint="default" w:ascii="仿宋_GB2312" w:hAnsi="Calibri" w:eastAsia="仿宋_GB2312" w:cs="Times New Roman"/>
          <w:sz w:val="32"/>
          <w:szCs w:val="24"/>
          <w:lang w:val="en-US" w:eastAsia="zh-CN"/>
        </w:rPr>
      </w:pPr>
      <w:bookmarkStart w:id="0" w:name="_GoBack"/>
      <w:bookmarkEnd w:id="0"/>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6B8E3"/>
    <w:multiLevelType w:val="singleLevel"/>
    <w:tmpl w:val="24C6B8E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jNGU3NTA3NWM2MWVkMjI2YzgzMzU3ZmZmYTRkNDkifQ=="/>
  </w:docVars>
  <w:rsids>
    <w:rsidRoot w:val="08791D4D"/>
    <w:rsid w:val="01144591"/>
    <w:rsid w:val="03CF5817"/>
    <w:rsid w:val="08791D4D"/>
    <w:rsid w:val="13B80076"/>
    <w:rsid w:val="1A2C70C8"/>
    <w:rsid w:val="282E6701"/>
    <w:rsid w:val="28B336B5"/>
    <w:rsid w:val="2E7A26A0"/>
    <w:rsid w:val="32144986"/>
    <w:rsid w:val="420267DC"/>
    <w:rsid w:val="43282273"/>
    <w:rsid w:val="48853CC3"/>
    <w:rsid w:val="49ED7DE9"/>
    <w:rsid w:val="4BBE33D4"/>
    <w:rsid w:val="4CFB6302"/>
    <w:rsid w:val="53BA0F2E"/>
    <w:rsid w:val="591075D9"/>
    <w:rsid w:val="67C92EB4"/>
    <w:rsid w:val="68646FFA"/>
    <w:rsid w:val="752235C1"/>
    <w:rsid w:val="78DC497A"/>
    <w:rsid w:val="7B095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2199</Words>
  <Characters>2257</Characters>
  <Lines>0</Lines>
  <Paragraphs>0</Paragraphs>
  <TotalTime>7</TotalTime>
  <ScaleCrop>false</ScaleCrop>
  <LinksUpToDate>false</LinksUpToDate>
  <CharactersWithSpaces>2257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2023-01-12T06:48:00Z</dcterms:created>
  <dc:creator>WPS_1474858374</dc:creator>
  <cp:lastModifiedBy>WPS_1474858374</cp:lastModifiedBy>
  <dcterms:modified xsi:type="dcterms:W3CDTF">2023-01-16T01:44:31Z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96BDA5B8DDA9477DB5B978B92938C2DB</vt:lpwstr>
  </property>
</Properties>
</file>